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6"/>
          <w:szCs w:val="26"/>
          <w:vertAlign w:val="baseline"/>
        </w:rPr>
      </w:pPr>
      <w:r w:rsidDel="00000000" w:rsidR="00000000" w:rsidRPr="00000000">
        <w:rPr>
          <w:b w:val="1"/>
          <w:vertAlign w:val="baseline"/>
          <w:rtl w:val="0"/>
        </w:rPr>
        <w:t xml:space="preserve">Agenda</w:t>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6"/>
          <w:szCs w:val="26"/>
          <w:vertAlign w:val="baseline"/>
        </w:rPr>
      </w:pPr>
      <w:r w:rsidDel="00000000" w:rsidR="00000000" w:rsidRPr="00000000">
        <w:rPr>
          <w:b w:val="1"/>
          <w:vertAlign w:val="baseline"/>
          <w:rtl w:val="0"/>
        </w:rPr>
        <w:t xml:space="preserve">APHEO Capacity Building for Small Rural and Northern Health Units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sz w:val="26"/>
          <w:szCs w:val="26"/>
          <w:vertAlign w:val="baseline"/>
        </w:rPr>
      </w:pPr>
      <w:r w:rsidDel="00000000" w:rsidR="00000000" w:rsidRPr="00000000">
        <w:rPr>
          <w:rFonts w:ascii="Arial" w:cs="Arial" w:eastAsia="Arial" w:hAnsi="Arial"/>
          <w:b w:val="1"/>
          <w:sz w:val="26"/>
          <w:szCs w:val="26"/>
          <w:vertAlign w:val="baseline"/>
          <w:rtl w:val="0"/>
        </w:rPr>
        <w:t xml:space="preserve">Monday January 24, 1:30 a.m. – 3:00 p.m.</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24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Chair: </w:t>
        <w:tab/>
        <w:tab/>
        <w:t xml:space="preserve">Alanna Leffley                                                                                          Minutes: Deanna Morris (changed)</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Participants: Ali Artaman Designate (Windsor-Essex County Health Unit), Chris Bowes (North Bay Parry Sound District Health Unit), John Cunningham (Leeds Grenville &amp; Lanark District Health Unit), Andrew Kurc (Peterborough County-City Health Unit), Alanna Leffley (Grey Bruce Health Unit), Lee-Ann Nalezyty (Northwestern Health Unit), Crystal Palleschi (County of Lambton Community Health Services Department), Peggy Patterson (Renfrew County and district Health Unit), Celine Pullen (Timiskaming Health Unit), Laura Zettler (Chatham Kent Health Unit),  Foyez Haque (Porcupine Health Unit), Shelly-Ann Hall (Huron County Health Unit), Wayne Tucker (Hastings &amp; Prince Edward Counties Health Unit), Renate Can Dorp (Perth District Health Unit)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Regrets: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Teleconference Info: 1-866-213-1666 ID: 7654151#</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tl w:val="0"/>
        </w:rPr>
      </w:r>
    </w:p>
    <w:tbl>
      <w:tblPr>
        <w:tblStyle w:val="Table1"/>
        <w:tblW w:w="136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8"/>
        <w:gridCol w:w="4950"/>
        <w:gridCol w:w="4680"/>
        <w:tblGridChange w:id="0">
          <w:tblGrid>
            <w:gridCol w:w="3978"/>
            <w:gridCol w:w="4950"/>
            <w:gridCol w:w="4680"/>
          </w:tblGrid>
        </w:tblGridChange>
      </w:tblGrid>
      <w:tr>
        <w:trPr>
          <w:cantSplit w:val="0"/>
          <w:trHeight w:val="460" w:hRule="atLeast"/>
          <w:tblHeader w:val="0"/>
        </w:trPr>
        <w:tc>
          <w:tcPr>
            <w:tcBorders>
              <w:bottom w:color="000000" w:space="0" w:sz="4" w:val="single"/>
            </w:tcBorders>
            <w:shd w:fill="ccc0d9" w:val="cle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Agenda Item</w:t>
            </w:r>
            <w:r w:rsidDel="00000000" w:rsidR="00000000" w:rsidRPr="00000000">
              <w:rPr>
                <w:rtl w:val="0"/>
              </w:rPr>
            </w:r>
          </w:p>
        </w:tc>
        <w:tc>
          <w:tcPr>
            <w:tcBorders>
              <w:bottom w:color="000000" w:space="0" w:sz="4" w:val="single"/>
            </w:tcBorders>
            <w:shd w:fill="ccc0d9" w:val="cle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Discussion</w:t>
            </w:r>
            <w:r w:rsidDel="00000000" w:rsidR="00000000" w:rsidRPr="00000000">
              <w:rPr>
                <w:rtl w:val="0"/>
              </w:rPr>
            </w:r>
          </w:p>
        </w:tc>
        <w:tc>
          <w:tcPr>
            <w:tcBorders>
              <w:bottom w:color="000000" w:space="0" w:sz="4" w:val="single"/>
            </w:tcBorders>
            <w:shd w:fill="ccc0d9" w:val="cle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w:t>
            </w: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 Approval of Agenda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380" w:hRule="atLeast"/>
          <w:tblHeader w:val="0"/>
        </w:trPr>
        <w:tc>
          <w:tcPr>
            <w:tcBorders>
              <w:bottom w:color="000000" w:space="0" w:sz="4" w:val="single"/>
            </w:tcBorders>
            <w:shd w:fill="e5b8b7" w:val="cle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2.0 Approval of minutes</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shd w:fill="e5b8b7" w:val="cle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 New Items</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3.1 Review Draft TOR</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A">
            <w:pPr>
              <w:pageBreakBefore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hanging="360"/>
              <w:rPr>
                <w:b w:val="0"/>
                <w:sz w:val="20"/>
                <w:szCs w:val="20"/>
              </w:rPr>
            </w:pPr>
            <w:r w:rsidDel="00000000" w:rsidR="00000000" w:rsidRPr="00000000">
              <w:rPr>
                <w:rFonts w:ascii="Arial" w:cs="Arial" w:eastAsia="Arial" w:hAnsi="Arial"/>
                <w:b w:val="0"/>
                <w:sz w:val="20"/>
                <w:szCs w:val="20"/>
                <w:vertAlign w:val="baseline"/>
                <w:rtl w:val="0"/>
              </w:rPr>
              <w:t xml:space="preserve">Review Draft TOR</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120" w:before="0" w:line="240" w:lineRule="auto"/>
              <w:ind w:left="720" w:firstLine="0"/>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3.2  Review Themes that emerged from the  Challenge and Solution exercise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21">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Review themes that emerged from the challenges and solutions exercise</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 Theme reflection (agree/disagree)</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b. Review Challenges and Solutions (anything missing, anything we can elaborate on)</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 Add health units to Health Unit Column</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 Prioritize challenges/solutions and themes </w:t>
            </w:r>
            <w:r w:rsidDel="00000000" w:rsidR="00000000" w:rsidRPr="00000000">
              <w:rPr>
                <w:rtl w:val="0"/>
              </w:rPr>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Identify potential Sub-Groups  </w:t>
            </w:r>
            <w:r w:rsidDel="00000000" w:rsidR="00000000" w:rsidRPr="00000000">
              <w:rPr>
                <w:rtl w:val="0"/>
              </w:rPr>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Identification of assets working in a rural health unit (Celebrate Successes!)</w:t>
            </w:r>
            <w:r w:rsidDel="00000000" w:rsidR="00000000" w:rsidRPr="00000000">
              <w:rPr>
                <w:rtl w:val="0"/>
              </w:rPr>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Environmental Scan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3.3 APHEO Conference Presentation in May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B">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Present at APHEO Conference in May</w:t>
            </w:r>
            <w:r w:rsidDel="00000000" w:rsidR="00000000" w:rsidRPr="00000000">
              <w:rPr>
                <w:rtl w:val="0"/>
              </w:rPr>
            </w:r>
          </w:p>
          <w:p w:rsidR="00000000" w:rsidDel="00000000" w:rsidP="00000000" w:rsidRDefault="00000000" w:rsidRPr="00000000" w14:paraId="0000002C">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Abstract Submission (past, present, and future of committee)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3.4 APHEO and OAHPP’s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To develop recommendations for APHEO and OAHPP’s. How can APHEO and OAHPP provide support?</w:t>
            </w:r>
            <w:r w:rsidDel="00000000" w:rsidR="00000000" w:rsidRPr="00000000">
              <w:rPr>
                <w:rtl w:val="0"/>
              </w:rPr>
            </w:r>
          </w:p>
          <w:p w:rsidR="00000000" w:rsidDel="00000000" w:rsidP="00000000" w:rsidRDefault="00000000" w:rsidRPr="00000000" w14:paraId="00000030">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Inclusion of large, urban health units (no list 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3.5 Air and Share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3">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Air and Share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20" w:hRule="atLeast"/>
          <w:tblHeader w:val="0"/>
        </w:trPr>
        <w:tc>
          <w:tcPr>
            <w:gridSpan w:val="3"/>
            <w:tcBorders>
              <w:bottom w:color="000000" w:space="0" w:sz="0" w:val="nil"/>
            </w:tcBorders>
            <w:shd w:fill="ccc0d9" w:val="cle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4.0 Meeting Dates</w:t>
            </w: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leader="none" w:pos="540"/>
                <w:tab w:val="left" w:leader="none" w:pos="72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4.1  2010 Meeting Dates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CHAIR AND MINUTE-TAKING ROLES </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pgSz w:h="12240" w:w="15840" w:orient="landscape"/>
      <w:pgMar w:bottom="1800" w:top="90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Arial" w:cs="Arial" w:eastAsia="Arial" w:hAnsi="Arial"/>
      <w:b w:val="1"/>
      <w:sz w:val="20"/>
      <w:szCs w:val="20"/>
      <w:vertAlign w:val="baseline"/>
    </w:rPr>
  </w:style>
  <w:style w:type="paragraph" w:styleId="Heading2">
    <w:name w:val="heading 2"/>
    <w:basedOn w:val="Normal"/>
    <w:next w:val="Normal"/>
    <w:pPr>
      <w:keepNext w:val="1"/>
      <w:keepLines w:val="1"/>
      <w:pageBreakBefore w:val="0"/>
      <w:spacing w:after="0" w:before="0" w:line="240" w:lineRule="auto"/>
      <w:jc w:val="center"/>
    </w:pPr>
    <w:rPr>
      <w:rFonts w:ascii="Arial" w:cs="Arial" w:eastAsia="Arial" w:hAnsi="Arial"/>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0" w:before="0" w:line="240" w:lineRule="auto"/>
    </w:pPr>
    <w:rPr>
      <w:rFonts w:ascii="Arial" w:cs="Arial" w:eastAsia="Arial" w:hAnsi="Arial"/>
      <w:b w:val="0"/>
      <w:i w:val="1"/>
      <w:sz w:val="22"/>
      <w:szCs w:val="22"/>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Arial" w:cs="Arial" w:eastAsia="Arial" w:hAnsi="Arial"/>
      <w:b w:val="1"/>
      <w:sz w:val="26"/>
      <w:szCs w:val="2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