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b w:val="1"/>
          <w:color w:val="7030a0"/>
          <w:sz w:val="28"/>
          <w:szCs w:val="28"/>
        </w:rPr>
      </w:pPr>
      <w:bookmarkStart w:colFirst="0" w:colLast="0" w:name="_gjdgxs" w:id="0"/>
      <w:bookmarkEnd w:id="0"/>
      <w:r w:rsidDel="00000000" w:rsidR="00000000" w:rsidRPr="00000000">
        <w:rPr>
          <w:b w:val="1"/>
          <w:color w:val="7030a0"/>
          <w:sz w:val="28"/>
          <w:szCs w:val="28"/>
          <w:rtl w:val="0"/>
        </w:rPr>
        <w:t xml:space="preserve">Core Indicators for Public Health in Ontario</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rtl w:val="0"/>
        </w:rPr>
        <w:t xml:space="preserve">Core Indicators Work Group:  Social Determinants of Health Subgroup</w:t>
      </w:r>
      <w:r w:rsidDel="00000000" w:rsidR="00000000" w:rsidRPr="00000000">
        <w:rPr>
          <w:rtl w:val="0"/>
        </w:rPr>
      </w:r>
    </w:p>
    <w:tbl>
      <w:tblPr>
        <w:tblStyle w:val="Table1"/>
        <w:tblW w:w="9468.0" w:type="dxa"/>
        <w:jc w:val="left"/>
        <w:tblInd w:w="-6.999999999999993"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37"/>
        <w:gridCol w:w="8331"/>
        <w:tblGridChange w:id="0">
          <w:tblGrid>
            <w:gridCol w:w="1137"/>
            <w:gridCol w:w="8331"/>
          </w:tblGrid>
        </w:tblGridChange>
      </w:tblGrid>
      <w:tr>
        <w:trPr>
          <w:cantSplit w:val="0"/>
          <w:tblHeader w:val="0"/>
        </w:trPr>
        <w:tc>
          <w:tcPr/>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Date</w:t>
            </w:r>
            <w:r w:rsidDel="00000000" w:rsidR="00000000" w:rsidRPr="00000000">
              <w:rPr>
                <w:rtl w:val="0"/>
              </w:rPr>
            </w:r>
          </w:p>
        </w:tc>
        <w:tc>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Wednesday, January 7, 2015 @ 1:30 p.m.</w:t>
            </w:r>
            <w:r w:rsidDel="00000000" w:rsidR="00000000" w:rsidRPr="00000000">
              <w:rPr>
                <w:rFonts w:ascii="Calibri" w:cs="Calibri" w:eastAsia="Calibri" w:hAnsi="Calibri"/>
                <w:b w:val="1"/>
                <w:color w:val="0000ff"/>
                <w:sz w:val="28"/>
                <w:szCs w:val="28"/>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Location</w:t>
            </w:r>
            <w:r w:rsidDel="00000000" w:rsidR="00000000" w:rsidRPr="00000000">
              <w:rPr>
                <w:rtl w:val="0"/>
              </w:rPr>
            </w:r>
          </w:p>
        </w:tc>
        <w:tc>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Teleconference: 416-850-2050 OR 866-261-6767; Participant Code </w:t>
            </w:r>
            <w:r w:rsidDel="00000000" w:rsidR="00000000" w:rsidRPr="00000000">
              <w:rPr>
                <w:rFonts w:ascii="Calibri" w:cs="Calibri" w:eastAsia="Calibri" w:hAnsi="Calibri"/>
                <w:b w:val="0"/>
                <w:sz w:val="21"/>
                <w:szCs w:val="21"/>
                <w:rtl w:val="0"/>
              </w:rPr>
              <w:t xml:space="preserve">659284#</w:t>
            </w:r>
            <w:r w:rsidDel="00000000" w:rsidR="00000000" w:rsidRPr="00000000">
              <w:rPr>
                <w:rtl w:val="0"/>
              </w:rPr>
            </w:r>
          </w:p>
        </w:tc>
      </w:tr>
      <w:tr>
        <w:trPr>
          <w:cantSplit w:val="0"/>
          <w:tblHeader w:val="0"/>
        </w:trPr>
        <w:tc>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Recorder</w:t>
            </w:r>
            <w:r w:rsidDel="00000000" w:rsidR="00000000" w:rsidRPr="00000000">
              <w:rPr>
                <w:rtl w:val="0"/>
              </w:rPr>
            </w:r>
          </w:p>
        </w:tc>
        <w:tc>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TBD</w:t>
            </w:r>
            <w:r w:rsidDel="00000000" w:rsidR="00000000" w:rsidRPr="00000000">
              <w:rPr>
                <w:rtl w:val="0"/>
              </w:rPr>
            </w:r>
          </w:p>
        </w:tc>
      </w:tr>
      <w:tr>
        <w:trPr>
          <w:cantSplit w:val="0"/>
          <w:tblHeader w:val="0"/>
        </w:trPr>
        <w:tc>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Chair</w:t>
            </w:r>
            <w:r w:rsidDel="00000000" w:rsidR="00000000" w:rsidRPr="00000000">
              <w:rPr>
                <w:rtl w:val="0"/>
              </w:rPr>
            </w:r>
          </w:p>
        </w:tc>
        <w:tc>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Cam McDermaid</w:t>
            </w:r>
            <w:r w:rsidDel="00000000" w:rsidR="00000000" w:rsidRPr="00000000">
              <w:rPr>
                <w:rtl w:val="0"/>
              </w:rPr>
            </w:r>
          </w:p>
        </w:tc>
      </w:tr>
      <w:tr>
        <w:trPr>
          <w:cantSplit w:val="0"/>
          <w:tblHeader w:val="0"/>
        </w:trPr>
        <w:tc>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Attendees</w:t>
            </w:r>
            <w:r w:rsidDel="00000000" w:rsidR="00000000" w:rsidRPr="00000000">
              <w:rPr>
                <w:rtl w:val="0"/>
              </w:rPr>
            </w:r>
          </w:p>
        </w:tc>
        <w:tc>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rtl w:val="0"/>
              </w:rPr>
              <w:t xml:space="preserve">Regrets</w:t>
            </w:r>
            <w:r w:rsidDel="00000000" w:rsidR="00000000" w:rsidRPr="00000000">
              <w:rPr>
                <w:rtl w:val="0"/>
              </w:rPr>
            </w:r>
          </w:p>
        </w:tc>
        <w:tc>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b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Agenda</w:t>
      </w:r>
    </w:p>
    <w:tbl>
      <w:tblPr>
        <w:tblStyle w:val="Table2"/>
        <w:tblW w:w="9415.0" w:type="dxa"/>
        <w:jc w:val="center"/>
        <w:tblInd w:w="-2199.0" w:type="dxa"/>
        <w:tblLayout w:type="fixed"/>
        <w:tblLook w:val="0600"/>
      </w:tblPr>
      <w:tblGrid>
        <w:gridCol w:w="810"/>
        <w:gridCol w:w="5342"/>
        <w:gridCol w:w="1710"/>
        <w:gridCol w:w="1553"/>
        <w:tblGridChange w:id="0">
          <w:tblGrid>
            <w:gridCol w:w="810"/>
            <w:gridCol w:w="5342"/>
            <w:gridCol w:w="1710"/>
            <w:gridCol w:w="1553"/>
          </w:tblGrid>
        </w:tblGridChange>
      </w:tblGrid>
      <w:tr>
        <w:trPr>
          <w:cantSplit w:val="0"/>
          <w:tblHeader w:val="0"/>
        </w:trPr>
        <w:tc>
          <w:tcP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No. </w:t>
            </w:r>
          </w:p>
        </w:tc>
        <w:tc>
          <w:tcPr>
            <w:vAlign w:val="center"/>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Item</w:t>
            </w:r>
          </w:p>
        </w:tc>
        <w:tc>
          <w:tcPr>
            <w:vAlign w:val="cente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Action Item</w:t>
            </w:r>
          </w:p>
        </w:tc>
        <w:tc>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Follow up</w:t>
            </w:r>
          </w:p>
        </w:tc>
      </w:tr>
      <w:tr>
        <w:trPr>
          <w:cantSplit w:val="0"/>
          <w:tblHeader w:val="0"/>
        </w:trPr>
        <w:tc>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1.0</w:t>
            </w:r>
          </w:p>
        </w:tc>
        <w:tc>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Review of the Agenda</w:t>
            </w:r>
          </w:p>
        </w:tc>
        <w:tc>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w:t>
            </w:r>
          </w:p>
        </w:tc>
        <w:tc>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2.0 </w:t>
            </w:r>
          </w:p>
        </w:tc>
        <w:tc>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Review of Minutes: from September 24, 2014</w:t>
            </w:r>
          </w:p>
        </w:tc>
        <w:tc>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w:t>
            </w:r>
          </w:p>
        </w:tc>
        <w:tc>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blHeader w:val="0"/>
        </w:trPr>
        <w:tc>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3.0</w:t>
            </w:r>
          </w:p>
        </w:tc>
        <w:tc>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Business Arising from September 24, 2014</w:t>
            </w:r>
          </w:p>
        </w:tc>
        <w:tc>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3.1</w:t>
            </w:r>
          </w:p>
        </w:tc>
        <w:tc>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u w:val="single"/>
                <w:rtl w:val="0"/>
              </w:rPr>
              <w:t xml:space="preserve">Living Arrangements: Sarah</w:t>
              <w:br w:type="textWrapping"/>
            </w:r>
            <w:r w:rsidDel="00000000" w:rsidR="00000000" w:rsidRPr="00000000">
              <w:rPr>
                <w:rtl w:val="0"/>
              </w:rPr>
              <w:t xml:space="preserve">(Deferred from last meeting)</w:t>
            </w:r>
          </w:p>
        </w:tc>
        <w:tc>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3.2</w:t>
            </w:r>
          </w:p>
        </w:tc>
        <w:tc>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u w:val="single"/>
                <w:rtl w:val="0"/>
              </w:rPr>
              <w:t xml:space="preserve">Ethnic/Cultural Origin: Cam</w:t>
              <w:br w:type="textWrapping"/>
            </w:r>
            <w:r w:rsidDel="00000000" w:rsidR="00000000" w:rsidRPr="00000000">
              <w:rPr>
                <w:rtl w:val="0"/>
              </w:rPr>
              <w:t xml:space="preserve">(Deferred from last meeting)</w:t>
            </w:r>
          </w:p>
        </w:tc>
        <w:tc>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3.3</w:t>
            </w:r>
          </w:p>
        </w:tc>
        <w:tc>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u w:val="single"/>
                <w:rtl w:val="0"/>
              </w:rPr>
              <w:t xml:space="preserve">Religion</w:t>
              <w:br w:type="textWrapping"/>
            </w:r>
            <w:r w:rsidDel="00000000" w:rsidR="00000000" w:rsidRPr="00000000">
              <w:rPr>
                <w:rtl w:val="0"/>
              </w:rPr>
              <w:t xml:space="preserve">(Deferred form last meeting)</w:t>
              <w:br w:type="textWrapping"/>
              <w:t xml:space="preserve">What would be the intent of adding a religion indicator? Where do we stand on adding this?</w:t>
            </w:r>
          </w:p>
        </w:tc>
        <w:tc>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3.4</w:t>
            </w:r>
          </w:p>
        </w:tc>
        <w:tc>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pPr>
            <w:r w:rsidDel="00000000" w:rsidR="00000000" w:rsidRPr="00000000">
              <w:rPr>
                <w:u w:val="single"/>
                <w:rtl w:val="0"/>
              </w:rPr>
              <w:t xml:space="preserve">Family Structure: Dinna</w:t>
              <w:br w:type="textWrapping"/>
            </w:r>
            <w:r w:rsidDel="00000000" w:rsidR="00000000" w:rsidRPr="00000000">
              <w:rPr>
                <w:rtl w:val="0"/>
              </w:rPr>
              <w:t xml:space="preserve">Indicator prepared &amp; attached to meeting invite. Group to present feedback to Dinna.</w:t>
            </w:r>
          </w:p>
        </w:tc>
        <w:tc>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3.5</w:t>
            </w:r>
          </w:p>
        </w:tc>
        <w:tc>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pPr>
            <w:r w:rsidDel="00000000" w:rsidR="00000000" w:rsidRPr="00000000">
              <w:rPr>
                <w:u w:val="single"/>
                <w:rtl w:val="0"/>
              </w:rPr>
              <w:t xml:space="preserve">Visible Minorities: Cam</w:t>
            </w:r>
            <w:r w:rsidDel="00000000" w:rsidR="00000000" w:rsidRPr="00000000">
              <w:rPr>
                <w:rtl w:val="0"/>
              </w:rPr>
              <w:br w:type="textWrapping"/>
              <w:t xml:space="preserve">(Deferred from last meeting)</w:t>
            </w:r>
          </w:p>
        </w:tc>
        <w:tc>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3.6</w:t>
            </w:r>
          </w:p>
        </w:tc>
        <w:tc>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u w:val="single"/>
                <w:rtl w:val="0"/>
              </w:rPr>
              <w:t xml:space="preserve">Sense of Community Belonging</w:t>
              <w:br w:type="textWrapping"/>
            </w:r>
            <w:r w:rsidDel="00000000" w:rsidR="00000000" w:rsidRPr="00000000">
              <w:rPr>
                <w:rtl w:val="0"/>
              </w:rPr>
              <w:t xml:space="preserve">Virginia will present a ‘finalized’ version back to the group late January, which if approved will be posted to the website shortly thereafter.</w:t>
            </w:r>
            <w:r w:rsidDel="00000000" w:rsidR="00000000" w:rsidRPr="00000000">
              <w:rPr>
                <w:rtl w:val="0"/>
              </w:rPr>
            </w:r>
          </w:p>
        </w:tc>
        <w:tc>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tbl>
      <w:tblPr>
        <w:tblStyle w:val="Table3"/>
        <w:tblW w:w="9415.0" w:type="dxa"/>
        <w:jc w:val="center"/>
        <w:tblInd w:w="-2199.0" w:type="dxa"/>
        <w:tblLayout w:type="fixed"/>
        <w:tblLook w:val="0600"/>
      </w:tblPr>
      <w:tblGrid>
        <w:gridCol w:w="810"/>
        <w:gridCol w:w="5342"/>
        <w:gridCol w:w="1710"/>
        <w:gridCol w:w="1553"/>
        <w:tblGridChange w:id="0">
          <w:tblGrid>
            <w:gridCol w:w="810"/>
            <w:gridCol w:w="5342"/>
            <w:gridCol w:w="1710"/>
            <w:gridCol w:w="1553"/>
          </w:tblGrid>
        </w:tblGridChange>
      </w:tblGrid>
      <w:tr>
        <w:trPr>
          <w:cantSplit w:val="0"/>
          <w:tblHeader w:val="0"/>
        </w:trPr>
        <w:tc>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4.0</w:t>
            </w:r>
          </w:p>
        </w:tc>
        <w:tc>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New Business</w:t>
            </w:r>
          </w:p>
        </w:tc>
        <w:tc>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5.0</w:t>
            </w:r>
          </w:p>
        </w:tc>
        <w:tc>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Indicator Updates</w:t>
            </w:r>
          </w:p>
        </w:tc>
        <w:tc>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5.1</w:t>
            </w:r>
          </w:p>
        </w:tc>
        <w:tc>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t xml:space="preserve">Indicator Progress:</w:t>
              <w:br w:type="textWrapping"/>
            </w:r>
            <w:r w:rsidDel="00000000" w:rsidR="00000000" w:rsidRPr="00000000">
              <w:rPr>
                <w:b w:val="1"/>
                <w:u w:val="single"/>
                <w:rtl w:val="0"/>
              </w:rPr>
              <w:t xml:space="preserve">Indicators to Be Retired</w:t>
              <w:br w:type="textWrapping"/>
            </w:r>
            <w:r w:rsidDel="00000000" w:rsidR="00000000" w:rsidRPr="00000000">
              <w:rPr>
                <w:rtl w:val="0"/>
              </w:rPr>
              <w:t xml:space="preserve">Unemployment Rate &amp; Labour Force Participation (now combined)</w:t>
              <w:br w:type="textWrapping"/>
              <w:t xml:space="preserve">Crime Rate (Social Environment)</w:t>
            </w:r>
            <w:r w:rsidDel="00000000" w:rsidR="00000000" w:rsidRPr="00000000">
              <w:rPr>
                <w:rtl w:val="0"/>
              </w:rPr>
            </w:r>
          </w:p>
        </w:tc>
        <w:tc>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w:t>
            </w:r>
          </w:p>
        </w:tc>
        <w:tc>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blHeader w:val="0"/>
        </w:trPr>
        <w:tc>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tc>
        <w:tc>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Completed Indicators</w:t>
              <w:br w:type="textWrapping"/>
            </w:r>
            <w:r w:rsidDel="00000000" w:rsidR="00000000" w:rsidRPr="00000000">
              <w:rPr>
                <w:rtl w:val="0"/>
              </w:rPr>
              <w:t xml:space="preserve">Population by Age and Sex (Population)</w:t>
              <w:br w:type="textWrapping"/>
              <w:t xml:space="preserve">Population Growth (Population)</w:t>
              <w:br w:type="textWrapping"/>
              <w:t xml:space="preserve">Projected Population Growth (Population)</w:t>
              <w:br w:type="textWrapping"/>
              <w:t xml:space="preserve">Dependency Ratios (Population)</w:t>
              <w:br w:type="textWrapping"/>
              <w:t xml:space="preserve">Aboriginal Population (Population)</w:t>
              <w:br w:type="textWrapping"/>
              <w:t xml:space="preserve">Labour Force Indicators (Social Environment)</w:t>
              <w:br w:type="textWrapping"/>
              <w:t xml:space="preserve">Housing Affordability (Social Environment)</w:t>
              <w:br w:type="textWrapping"/>
              <w:t xml:space="preserve">Low Income Rate (Social Environment)</w:t>
              <w:br w:type="textWrapping"/>
              <w:t xml:space="preserve">Home Language (Population)</w:t>
            </w:r>
            <w:r w:rsidDel="00000000" w:rsidR="00000000" w:rsidRPr="00000000">
              <w:rPr>
                <w:b w:val="1"/>
                <w:rtl w:val="0"/>
              </w:rPr>
              <w:br w:type="textWrapping"/>
            </w:r>
            <w:r w:rsidDel="00000000" w:rsidR="00000000" w:rsidRPr="00000000">
              <w:rPr>
                <w:rtl w:val="0"/>
              </w:rPr>
              <w:t xml:space="preserve">Income Inequality (Social Environment)</w:t>
              <w:br w:type="textWrapping"/>
              <w:t xml:space="preserve">Lone-Parent Families (Social Environment)</w:t>
              <w:br w:type="textWrapping"/>
              <w:t xml:space="preserve">Education Level (Social Environment)</w:t>
              <w:br w:type="textWrapping"/>
              <w:t xml:space="preserve">Mother Tongue (Social Environment)</w:t>
              <w:br w:type="textWrapping"/>
              <w:t xml:space="preserve">Commuting Population (Social Environment)</w:t>
            </w:r>
          </w:p>
        </w:tc>
        <w:tc>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blHeader w:val="0"/>
        </w:trPr>
        <w:tc>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tc>
        <w:tc>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In Progress—Not Yet Presented for Internal Review</w:t>
              <w:br w:type="textWrapping"/>
            </w:r>
            <w:r w:rsidDel="00000000" w:rsidR="00000000" w:rsidRPr="00000000">
              <w:rPr>
                <w:rtl w:val="0"/>
              </w:rPr>
              <w:t xml:space="preserve">Urban and Rural Population (Population): </w:t>
            </w:r>
            <w:r w:rsidDel="00000000" w:rsidR="00000000" w:rsidRPr="00000000">
              <w:rPr>
                <w:b w:val="1"/>
                <w:rtl w:val="0"/>
              </w:rPr>
              <w:t xml:space="preserve">Cam</w:t>
              <w:br w:type="textWrapping"/>
            </w:r>
            <w:r w:rsidDel="00000000" w:rsidR="00000000" w:rsidRPr="00000000">
              <w:rPr>
                <w:rtl w:val="0"/>
              </w:rPr>
              <w:t xml:space="preserve">Immigrant Population (Population): </w:t>
            </w:r>
            <w:r w:rsidDel="00000000" w:rsidR="00000000" w:rsidRPr="00000000">
              <w:rPr>
                <w:b w:val="1"/>
                <w:rtl w:val="0"/>
              </w:rPr>
              <w:t xml:space="preserve">Cam</w:t>
              <w:br w:type="textWrapping"/>
            </w:r>
            <w:r w:rsidDel="00000000" w:rsidR="00000000" w:rsidRPr="00000000">
              <w:rPr>
                <w:rtl w:val="0"/>
              </w:rPr>
              <w:t xml:space="preserve">Percent Who Cannot Speak English or French (Population): </w:t>
            </w:r>
            <w:r w:rsidDel="00000000" w:rsidR="00000000" w:rsidRPr="00000000">
              <w:rPr>
                <w:b w:val="1"/>
                <w:rtl w:val="0"/>
              </w:rPr>
              <w:t xml:space="preserve">(Sarah)</w:t>
            </w:r>
          </w:p>
        </w:tc>
        <w:tc>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blHeader w:val="0"/>
        </w:trPr>
        <w:tc>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tc>
        <w:tc>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In Progress—Not Yet Externally Reviewed, But IS Posted</w:t>
            </w: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blHeader w:val="0"/>
        </w:trPr>
        <w:tc>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tc>
        <w:tc>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In Progress—Externally Reviewed, Not Yet Finalized</w:t>
            </w:r>
            <w:r w:rsidDel="00000000" w:rsidR="00000000" w:rsidRPr="00000000">
              <w:rPr>
                <w:rtl w:val="0"/>
              </w:rPr>
              <w:t xml:space="preserve"> </w:t>
            </w:r>
            <w:r w:rsidDel="00000000" w:rsidR="00000000" w:rsidRPr="00000000">
              <w:rPr>
                <w:b w:val="1"/>
                <w:rtl w:val="0"/>
              </w:rPr>
              <w:br w:type="textWrapping"/>
            </w:r>
            <w:r w:rsidDel="00000000" w:rsidR="00000000" w:rsidRPr="00000000">
              <w:rPr>
                <w:rtl w:val="0"/>
              </w:rPr>
              <w:t xml:space="preserve">Sense of Community Belonging: (Social Environment): </w:t>
            </w:r>
            <w:r w:rsidDel="00000000" w:rsidR="00000000" w:rsidRPr="00000000">
              <w:rPr>
                <w:b w:val="1"/>
                <w:rtl w:val="0"/>
              </w:rPr>
              <w:t xml:space="preserve">Ginny </w:t>
              <w:br w:type="textWrapping"/>
            </w:r>
            <w:r w:rsidDel="00000000" w:rsidR="00000000" w:rsidRPr="00000000">
              <w:rPr>
                <w:rtl w:val="0"/>
              </w:rPr>
              <w:t xml:space="preserve">Ethnic/Cultural Origin (Population): </w:t>
            </w:r>
            <w:r w:rsidDel="00000000" w:rsidR="00000000" w:rsidRPr="00000000">
              <w:rPr>
                <w:b w:val="1"/>
                <w:rtl w:val="0"/>
              </w:rPr>
              <w:t xml:space="preserve">Cam</w:t>
            </w:r>
            <w:r w:rsidDel="00000000" w:rsidR="00000000" w:rsidRPr="00000000">
              <w:rPr>
                <w:rtl w:val="0"/>
              </w:rPr>
              <w:t xml:space="preserve"> </w:t>
              <w:br w:type="textWrapping"/>
              <w:t xml:space="preserve">Living Arrangements (Social Environment): </w:t>
            </w:r>
            <w:r w:rsidDel="00000000" w:rsidR="00000000" w:rsidRPr="00000000">
              <w:rPr>
                <w:b w:val="1"/>
                <w:rtl w:val="0"/>
              </w:rPr>
              <w:t xml:space="preserve">Sarah</w:t>
            </w:r>
            <w:r w:rsidDel="00000000" w:rsidR="00000000" w:rsidRPr="00000000">
              <w:rPr>
                <w:rtl w:val="0"/>
              </w:rPr>
            </w:r>
          </w:p>
        </w:tc>
        <w:tc>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tbl>
      <w:tblPr>
        <w:tblStyle w:val="Table4"/>
        <w:tblW w:w="9415.0" w:type="dxa"/>
        <w:jc w:val="center"/>
        <w:tblInd w:w="-2199.0" w:type="dxa"/>
        <w:tblLayout w:type="fixed"/>
        <w:tblLook w:val="0000"/>
      </w:tblPr>
      <w:tblGrid>
        <w:gridCol w:w="810"/>
        <w:gridCol w:w="5342"/>
        <w:gridCol w:w="1710"/>
        <w:gridCol w:w="1553"/>
        <w:tblGridChange w:id="0">
          <w:tblGrid>
            <w:gridCol w:w="810"/>
            <w:gridCol w:w="5342"/>
            <w:gridCol w:w="1710"/>
            <w:gridCol w:w="1553"/>
          </w:tblGrid>
        </w:tblGridChange>
      </w:tblGrid>
      <w:tr>
        <w:trPr>
          <w:cantSplit w:val="0"/>
          <w:tblHeader w:val="0"/>
        </w:trPr>
        <w:tc>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6.0</w:t>
            </w:r>
          </w:p>
        </w:tc>
        <w:tc>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Standing Items</w:t>
            </w:r>
          </w:p>
        </w:tc>
        <w:tc>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6.1</w:t>
            </w:r>
          </w:p>
        </w:tc>
        <w:tc>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pPr>
            <w:r w:rsidDel="00000000" w:rsidR="00000000" w:rsidRPr="00000000">
              <w:rPr>
                <w:u w:val="single"/>
                <w:rtl w:val="0"/>
              </w:rPr>
              <w:t xml:space="preserve">Items to bring forward to CIWG </w:t>
            </w:r>
            <w:r w:rsidDel="00000000" w:rsidR="00000000" w:rsidRPr="00000000">
              <w:rPr>
                <w:rtl w:val="0"/>
              </w:rPr>
              <w:br w:type="textWrapping"/>
              <w:t xml:space="preserve">Next CIWG Meeting is </w:t>
            </w:r>
            <w:r w:rsidDel="00000000" w:rsidR="00000000" w:rsidRPr="00000000">
              <w:rPr>
                <w:b w:val="1"/>
                <w:rtl w:val="0"/>
              </w:rPr>
              <w:t xml:space="preserve">January 29</w:t>
            </w:r>
            <w:r w:rsidDel="00000000" w:rsidR="00000000" w:rsidRPr="00000000">
              <w:rPr>
                <w:rtl w:val="0"/>
              </w:rPr>
              <w:t xml:space="preserve">. Please list any items to bring forward here.</w:t>
              <w:br w:type="textWrapping"/>
            </w:r>
          </w:p>
        </w:tc>
        <w:tc>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6.2</w:t>
            </w:r>
          </w:p>
        </w:tc>
        <w:tc>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pPr>
            <w:r w:rsidDel="00000000" w:rsidR="00000000" w:rsidRPr="00000000">
              <w:rPr>
                <w:u w:val="single"/>
                <w:rtl w:val="0"/>
              </w:rPr>
              <w:t xml:space="preserve">CIWG Meeting Report</w:t>
              <w:br w:type="textWrapping"/>
            </w:r>
            <w:r w:rsidDel="00000000" w:rsidR="00000000" w:rsidRPr="00000000">
              <w:rPr>
                <w:rtl w:val="0"/>
              </w:rPr>
              <w:t xml:space="preserve">CIWG will be using the new website membership form to collect information from people interested in participating as CI reviewers.</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Our comments regarding voter turnout indicator (which was that we thought it was not appropriate as a CI) were brought forward to the CIWG. There was some conversation about this, the feeling at the CIWG table was that it would be a useful indicator. We should discuss. There may be other proxies of civic engagement we could use that could be more easily obtainable at the HU level, or that may be more reflective of civic engagement than voter turnout.</w:t>
            </w:r>
          </w:p>
        </w:tc>
        <w:tc>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7.0</w:t>
            </w:r>
          </w:p>
        </w:tc>
        <w:tc>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Date, Time and Location of Next Meetings: </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pPr>
            <w:r w:rsidDel="00000000" w:rsidR="00000000" w:rsidRPr="00000000">
              <w:rPr>
                <w:u w:val="single"/>
                <w:rtl w:val="0"/>
              </w:rPr>
              <w:t xml:space="preserve">NEED TO SCHEDULE NEXT MEETING </w:t>
              <w:br w:type="textWrapping"/>
            </w:r>
            <w:r w:rsidDel="00000000" w:rsidR="00000000" w:rsidRPr="00000000">
              <w:rPr>
                <w:rtl w:val="0"/>
              </w:rPr>
              <w:t xml:space="preserve">Virginia will send out a Doodle poll in two weeks to schedule the next meeting for sometime in March. </w:t>
            </w:r>
          </w:p>
        </w:tc>
        <w:tc>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6" w:type="default"/>
      <w:pgSz w:h="15840" w:w="12240" w:orient="portrait"/>
      <w:pgMar w:bottom="9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706" w:before="0" w:line="276" w:lineRule="auto"/>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Meeting Agenda: January 7, 2015</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