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Agenda</w:t>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APHEO Capacity Building for Small Rural and Northern Health Units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6"/>
          <w:szCs w:val="26"/>
          <w:vertAlign w:val="baseline"/>
        </w:rPr>
      </w:pPr>
      <w:r w:rsidDel="00000000" w:rsidR="00000000" w:rsidRPr="00000000">
        <w:rPr>
          <w:rFonts w:ascii="Arial" w:cs="Arial" w:eastAsia="Arial" w:hAnsi="Arial"/>
          <w:b w:val="1"/>
          <w:sz w:val="26"/>
          <w:szCs w:val="26"/>
          <w:vertAlign w:val="baseline"/>
          <w:rtl w:val="0"/>
        </w:rPr>
        <w:t xml:space="preserve">March 21, 10:30 p.m. –12:00 p.m.</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24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Chair: </w:t>
        <w:tab/>
        <w:tab/>
        <w:t xml:space="preserve">Deanna White                                                                                                  Minutes: Deanna White</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Participants: Participants: Chris Bowes (North Bay Parry Sound District Health Unit), Clifford Ekwempe (Windsor-Essex County Health Unit), , Andrew Kurc (Peterborough County-City Health Unit), Alanna Leffley (Grey Bruce Health Unit), Lee-Ann Nalezyty (Northwestern Health Unit), Peggy Patterson (Renfrew County and district Health Unit), Celine Butler (Timiskaming Health Unit), Renate van Dorp (Perth District Health Unit), Alanna Leffley (Grey Bruce Health Unit), Erica Clark (Huron County), Deb Carr (Oxford)</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Regrets: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tbl>
      <w:tblPr>
        <w:tblStyle w:val="Table1"/>
        <w:tblW w:w="136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4950"/>
        <w:gridCol w:w="4680"/>
        <w:tblGridChange w:id="0">
          <w:tblGrid>
            <w:gridCol w:w="3978"/>
            <w:gridCol w:w="4950"/>
            <w:gridCol w:w="4680"/>
          </w:tblGrid>
        </w:tblGridChange>
      </w:tblGrid>
      <w:tr>
        <w:trPr>
          <w:cantSplit w:val="0"/>
          <w:trHeight w:val="460" w:hRule="atLeast"/>
          <w:tblHeader w:val="0"/>
        </w:trPr>
        <w:tc>
          <w:tcPr>
            <w:tcBorders>
              <w:bottom w:color="000000" w:space="0" w:sz="4" w:val="single"/>
            </w:tcBorders>
            <w:shd w:fill="ccc0d9" w:val="cle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Agenda Item</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Discussion</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w:t>
            </w: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 Approval of Agenda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380" w:hRule="atLeast"/>
          <w:tblHeader w:val="0"/>
        </w:trPr>
        <w:tc>
          <w:tcPr>
            <w:tcBorders>
              <w:bottom w:color="000000" w:space="0" w:sz="4" w:val="single"/>
            </w:tcBorders>
            <w:shd w:fill="e5b8b7" w:val="cle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2.0 Approval of minutes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Feb 24, 2012 </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color w:val="00000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shd w:fill="e5b8b7" w:val="cle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 New Items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0"/>
                <w:szCs w:val="20"/>
                <w:vertAlign w:val="baseline"/>
                <w:rtl w:val="0"/>
              </w:rPr>
              <w:t xml:space="preserve">3.2 </w:t>
            </w:r>
            <w:r w:rsidDel="00000000" w:rsidR="00000000" w:rsidRPr="00000000">
              <w:rPr>
                <w:rFonts w:ascii="Arial" w:cs="Arial" w:eastAsia="Arial" w:hAnsi="Arial"/>
                <w:b w:val="1"/>
                <w:sz w:val="22"/>
                <w:szCs w:val="22"/>
                <w:vertAlign w:val="baseline"/>
                <w:rtl w:val="0"/>
              </w:rPr>
              <w:t xml:space="preserve">APHEO BCSRNHU</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Prioritization Plan</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Review recommendations on prioritization plan</w:t>
            </w: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Continue with prioritization (tool)</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3.3 BCSRNHU Environmental Scan for Documents Addressing the Foundational Standard</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3.4 Air and Share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20" w:hRule="atLeast"/>
          <w:tblHeader w:val="0"/>
        </w:trPr>
        <w:tc>
          <w:tcPr>
            <w:gridSpan w:val="3"/>
            <w:tcBorders>
              <w:bottom w:color="000000" w:space="0" w:sz="0" w:val="nil"/>
            </w:tcBorders>
            <w:shd w:fill="ccc0d9" w:val="cle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 Meeting Dates</w:t>
            </w: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leader="none" w:pos="540"/>
                <w:tab w:val="left" w:leader="none" w:pos="7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4.1  2010 Meeting Dates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CHAIR AND MINUTE-TAKING ROLES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pgSz w:h="12240" w:w="15840" w:orient="landscape"/>
      <w:pgMar w:bottom="1800" w:top="90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Arial" w:cs="Arial" w:eastAsia="Arial" w:hAnsi="Arial"/>
      <w:b w:val="1"/>
      <w:sz w:val="20"/>
      <w:szCs w:val="20"/>
      <w:vertAlign w:val="baseline"/>
    </w:rPr>
  </w:style>
  <w:style w:type="paragraph" w:styleId="Heading2">
    <w:name w:val="heading 2"/>
    <w:basedOn w:val="Normal"/>
    <w:next w:val="Normal"/>
    <w:pPr>
      <w:keepNext w:val="1"/>
      <w:keepLines w:val="1"/>
      <w:pageBreakBefore w:val="0"/>
      <w:spacing w:after="0" w:before="0" w:line="240" w:lineRule="auto"/>
      <w:jc w:val="center"/>
    </w:pPr>
    <w:rPr>
      <w:rFonts w:ascii="Arial" w:cs="Arial" w:eastAsia="Arial" w:hAnsi="Arial"/>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0" w:before="0" w:line="240" w:lineRule="auto"/>
    </w:pPr>
    <w:rPr>
      <w:rFonts w:ascii="Arial" w:cs="Arial" w:eastAsia="Arial" w:hAnsi="Arial"/>
      <w:b w:val="0"/>
      <w:i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Arial" w:cs="Arial" w:eastAsia="Arial" w:hAnsi="Arial"/>
      <w:b w:val="1"/>
      <w:sz w:val="26"/>
      <w:szCs w:val="2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