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Immunization Core Indicator work group meeting Agenda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3"/>
        <w:gridCol w:w="962"/>
        <w:gridCol w:w="3265"/>
        <w:gridCol w:w="1025"/>
        <w:gridCol w:w="3550"/>
        <w:tblGridChange w:id="0">
          <w:tblGrid>
            <w:gridCol w:w="2113"/>
            <w:gridCol w:w="962"/>
            <w:gridCol w:w="3265"/>
            <w:gridCol w:w="1025"/>
            <w:gridCol w:w="355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26, 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Chair: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Vidya Sunil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1:30 p.m. – 3.30 pm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Call in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Teleconference Info: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Local:  (416) 850-2050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Toll-Free:  1-866-261-6767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Access Code: 17011578#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after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7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5529"/>
        <w:gridCol w:w="2503"/>
        <w:tblGridChange w:id="0">
          <w:tblGrid>
            <w:gridCol w:w="2835"/>
            <w:gridCol w:w="5529"/>
            <w:gridCol w:w="2503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Andrean Bunko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Health Ontario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Carole Craig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York Region Public Health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Danielle Hachborn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Simcoe Muskoka District Health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Jasantha Naidoo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Durham Region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Jordan Robson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Algoma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939"/>
              </w:tabs>
              <w:ind w:left="360" w:right="176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Kristen Wheeler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Halton Region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939"/>
              </w:tabs>
              <w:ind w:left="360" w:right="176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Lindsay Whitmore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Ottawa Public Health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Melissa MacLeod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Oxford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Vidya Sunil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HKPR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513"/>
              </w:tabs>
              <w:ind w:left="360" w:right="225" w:hanging="28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2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7"/>
        <w:gridCol w:w="7755"/>
        <w:gridCol w:w="1920"/>
        <w:tblGridChange w:id="0">
          <w:tblGrid>
            <w:gridCol w:w="1247"/>
            <w:gridCol w:w="7755"/>
            <w:gridCol w:w="1920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Welcome and Introduction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Confirming recorder for meetings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Indicators</w:t>
            </w:r>
          </w:p>
          <w:p w:rsidR="00000000" w:rsidDel="00000000" w:rsidP="00000000" w:rsidRDefault="00000000" w:rsidRPr="00000000" w14:paraId="00000055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Existing indicators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commentRangeStart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Childhood Vaccination Coverage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1"/>
              <w:keepLines w:val="1"/>
              <w:pageBreakBefore w:val="0"/>
              <w:numPr>
                <w:ilvl w:val="1"/>
                <w:numId w:val="4"/>
              </w:numPr>
              <w:ind w:left="2160" w:hanging="360"/>
              <w:rPr>
                <w:rFonts w:ascii="Calibri" w:cs="Calibri" w:eastAsia="Calibri" w:hAnsi="Calibri"/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by disease</w:t>
            </w:r>
          </w:p>
          <w:p w:rsidR="00000000" w:rsidDel="00000000" w:rsidP="00000000" w:rsidRDefault="00000000" w:rsidRPr="00000000" w14:paraId="0000005C">
            <w:pPr>
              <w:keepNext w:val="1"/>
              <w:keepLines w:val="1"/>
              <w:pageBreakBefore w:val="0"/>
              <w:numPr>
                <w:ilvl w:val="1"/>
                <w:numId w:val="4"/>
              </w:numPr>
              <w:ind w:left="2160" w:hanging="360"/>
              <w:rPr>
                <w:rFonts w:ascii="Calibri" w:cs="Calibri" w:eastAsia="Calibri" w:hAnsi="Calibri"/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All of the AAs related to vaccination coverage</w:t>
            </w:r>
          </w:p>
          <w:p w:rsidR="00000000" w:rsidDel="00000000" w:rsidP="00000000" w:rsidRDefault="00000000" w:rsidRPr="00000000" w14:paraId="0000005D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Influenza and Pneumococcal Vaccination Rates Among Long-Term Care Facility Residents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 (performance rather than health status)</w:t>
            </w:r>
          </w:p>
          <w:p w:rsidR="00000000" w:rsidDel="00000000" w:rsidP="00000000" w:rsidRDefault="00000000" w:rsidRPr="00000000" w14:paraId="0000005E">
            <w:pPr>
              <w:keepNext w:val="1"/>
              <w:keepLines w:val="1"/>
              <w:pageBreakBefore w:val="0"/>
              <w:numPr>
                <w:ilvl w:val="1"/>
                <w:numId w:val="4"/>
              </w:numPr>
              <w:ind w:left="2160" w:hanging="360"/>
              <w:rPr>
                <w:rFonts w:ascii="Calibri" w:cs="Calibri" w:eastAsia="Calibri" w:hAnsi="Calibri"/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Should this be here? or move under influenza vaccination -&gt; we will revisit, not a priority right now</w:t>
            </w:r>
          </w:p>
          <w:p w:rsidR="00000000" w:rsidDel="00000000" w:rsidP="00000000" w:rsidRDefault="00000000" w:rsidRPr="00000000" w14:paraId="0000005F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Influenza Vaccination Rates Among Staff at Long-Term Care Facilities and Hospitals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(Danielle)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Adverse Events Following Immunization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(Lindsay)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1"/>
              <w:keepLines w:val="1"/>
              <w:pageBreakBefore w:val="0"/>
              <w:numPr>
                <w:ilvl w:val="1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by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commentRangeStart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Influenza Vaccination 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(Melissa)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Adult Pneumococcal Vaccination 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(Vidya)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1"/>
              <w:keepLines w:val="1"/>
              <w:pageBreakBefore w:val="0"/>
              <w:numPr>
                <w:ilvl w:val="0"/>
                <w:numId w:val="4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Vaccine Wastage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rtl w:val="0"/>
              </w:rPr>
              <w:t xml:space="preserve">&amp; Distribution (performance rather than health status)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(Carole)</w:t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Most indicators need revisiting, some need a lot of revision.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Some indicators will require more revision than others.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Proposals for prioritizing: </w:t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examine 2 indicators per meeting</w:t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Remove some that don’t apply now</w:t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See where gaps are in current indicators now, see where needs are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Some of the larger indicators will need to be tackled outside of workgroup discussions (form subgroups)</w:t>
            </w:r>
          </w:p>
          <w:p w:rsidR="00000000" w:rsidDel="00000000" w:rsidP="00000000" w:rsidRDefault="00000000" w:rsidRPr="00000000" w14:paraId="0000006D">
            <w:pPr>
              <w:pageBreakBefore w:val="0"/>
              <w:ind w:firstLine="72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Each core indicator is linked to OPS standards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Accountability Agreement indicators - are not necessarily health status indicators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color w:val="9900ff"/>
                <w:shd w:fill="ff99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hd w:fill="ff9900" w:val="clear"/>
                <w:rtl w:val="0"/>
              </w:rPr>
              <w:t xml:space="preserve">-&gt; Vidya to follow up with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2"/>
                <w:szCs w:val="22"/>
                <w:shd w:fill="ff9900" w:val="clear"/>
                <w:rtl w:val="0"/>
              </w:rPr>
              <w:t xml:space="preserve">core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hd w:fill="ff9900" w:val="clear"/>
                <w:rtl w:val="0"/>
              </w:rPr>
              <w:t xml:space="preserve"> indicator workgroup re: template for core indicators</w:t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  <w:color w:val="9900ff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Indicators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hd w:fill="ff9900" w:val="clear"/>
                <w:rtl w:val="0"/>
              </w:rPr>
              <w:t xml:space="preserve">-&gt; Jordan to review OPS Standards to see if there are any additional indicators to create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Childhood Vaccination coverage   </w:t>
            </w:r>
          </w:p>
          <w:p w:rsidR="00000000" w:rsidDel="00000000" w:rsidP="00000000" w:rsidRDefault="00000000" w:rsidRPr="00000000" w14:paraId="0000007B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 antigen by antigen comparison of the forecaster logic vs the PHO methodology </w:t>
            </w:r>
          </w:p>
          <w:p w:rsidR="00000000" w:rsidDel="00000000" w:rsidP="00000000" w:rsidRDefault="00000000" w:rsidRPr="00000000" w14:paraId="0000007C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Lindsay wondering if anyone looked at the forecaster logic vs the PHO technical notes to say exactly why the coverage estimates differ by antigen?</w:t>
            </w:r>
          </w:p>
          <w:p w:rsidR="00000000" w:rsidDel="00000000" w:rsidP="00000000" w:rsidRDefault="00000000" w:rsidRPr="00000000" w14:paraId="0000007D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Danielle from Simcoe has gone through Forecaster Document, but hasn’t documented things</w:t>
            </w:r>
          </w:p>
          <w:p w:rsidR="00000000" w:rsidDel="00000000" w:rsidP="00000000" w:rsidRDefault="00000000" w:rsidRPr="00000000" w14:paraId="0000007E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Carole: forecaster is live - never going to be the same, although taking data extracts and storing can be done - not necessarily practical</w:t>
            </w:r>
          </w:p>
          <w:p w:rsidR="00000000" w:rsidDel="00000000" w:rsidP="00000000" w:rsidRDefault="00000000" w:rsidRPr="00000000" w14:paraId="0000007F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Should compliance be looked at as a core indicator as well? It is measuring something different than coverage (health status)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There is a definite need to be able to calculate coverage at PHUs.</w:t>
            </w:r>
          </w:p>
          <w:p w:rsidR="00000000" w:rsidDel="00000000" w:rsidP="00000000" w:rsidRDefault="00000000" w:rsidRPr="00000000" w14:paraId="00000081">
            <w:pPr>
              <w:keepNext w:val="1"/>
              <w:keepLines w:val="1"/>
              <w:pageBreakBefore w:val="0"/>
              <w:numPr>
                <w:ilvl w:val="0"/>
                <w:numId w:val="2"/>
              </w:numPr>
              <w:ind w:left="144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Smaller area analysis i.e. school board, municipalities, etc.</w:t>
            </w:r>
          </w:p>
          <w:p w:rsidR="00000000" w:rsidDel="00000000" w:rsidP="00000000" w:rsidRDefault="00000000" w:rsidRPr="00000000" w14:paraId="00000082">
            <w:pPr>
              <w:keepNext w:val="1"/>
              <w:keepLines w:val="1"/>
              <w:pageBreakBefore w:val="0"/>
              <w:numPr>
                <w:ilvl w:val="0"/>
                <w:numId w:val="2"/>
              </w:numPr>
              <w:ind w:left="144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Coverage before/after campaigns</w:t>
            </w:r>
          </w:p>
          <w:p w:rsidR="00000000" w:rsidDel="00000000" w:rsidP="00000000" w:rsidRDefault="00000000" w:rsidRPr="00000000" w14:paraId="00000083">
            <w:pPr>
              <w:keepNext w:val="1"/>
              <w:keepLines w:val="1"/>
              <w:pageBreakBefore w:val="0"/>
              <w:numPr>
                <w:ilvl w:val="0"/>
                <w:numId w:val="2"/>
              </w:numPr>
              <w:ind w:left="1440" w:hanging="36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MOH asks for coverage at this time point, don’t want to rely on coverage estimates from a single (annual) point in time</w:t>
            </w:r>
          </w:p>
          <w:p w:rsidR="00000000" w:rsidDel="00000000" w:rsidP="00000000" w:rsidRDefault="00000000" w:rsidRPr="00000000" w14:paraId="00000084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ii. Valid dose count indicators as a way of looking at coverage trends </w:t>
            </w:r>
          </w:p>
          <w:p w:rsidR="00000000" w:rsidDel="00000000" w:rsidP="00000000" w:rsidRDefault="00000000" w:rsidRPr="00000000" w14:paraId="00000086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https://docs.google.com/document/d/1_9Zl9nB69blVwYD9tzoQe7j0YI6OPcUe_N-WpsopEPI/edit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Grade v birth cohort - Does it make sense to pursue improving grade completeness?</w:t>
            </w:r>
          </w:p>
          <w:p w:rsidR="00000000" w:rsidDel="00000000" w:rsidP="00000000" w:rsidRDefault="00000000" w:rsidRPr="00000000" w14:paraId="00000088">
            <w:pPr>
              <w:keepNext w:val="1"/>
              <w:keepLines w:val="1"/>
              <w:pageBreakBefore w:val="0"/>
              <w:ind w:left="458" w:firstLine="262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Vaccine delivery occurs in grades, but health protection is recommended by age.</w:t>
            </w:r>
          </w:p>
          <w:p w:rsidR="00000000" w:rsidDel="00000000" w:rsidP="00000000" w:rsidRDefault="00000000" w:rsidRPr="00000000" w14:paraId="00000089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rtl w:val="0"/>
              </w:rPr>
              <w:t xml:space="preserve">Danielle and Carole to compare coverage proxy methods?  Difficult to compare as dose count (Carole) is looking at doses given as of birthday. </w:t>
            </w:r>
          </w:p>
          <w:p w:rsidR="00000000" w:rsidDel="00000000" w:rsidP="00000000" w:rsidRDefault="00000000" w:rsidRPr="00000000" w14:paraId="0000008A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  <w:shd w:fill="ff99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hd w:fill="ff9900" w:val="clear"/>
                <w:rtl w:val="0"/>
              </w:rPr>
              <w:t xml:space="preserve">-&gt;Carole will run her report and Danielle’s report so we can compare the results. </w:t>
            </w:r>
          </w:p>
          <w:p w:rsidR="00000000" w:rsidDel="00000000" w:rsidP="00000000" w:rsidRDefault="00000000" w:rsidRPr="00000000" w14:paraId="0000008B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  <w:shd w:fill="ff99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ff"/>
                <w:shd w:fill="ff9900" w:val="clear"/>
                <w:rtl w:val="0"/>
              </w:rPr>
              <w:t xml:space="preserve">-&gt;Rest of group will examine the results, consider both and how to go forward with vaccination coverage.</w:t>
            </w:r>
          </w:p>
          <w:p w:rsidR="00000000" w:rsidDel="00000000" w:rsidP="00000000" w:rsidRDefault="00000000" w:rsidRPr="00000000" w14:paraId="0000008C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 PHO perspective</w:t>
            </w:r>
          </w:p>
          <w:p w:rsidR="00000000" w:rsidDel="00000000" w:rsidP="00000000" w:rsidRDefault="00000000" w:rsidRPr="00000000" w14:paraId="0000008E">
            <w:pPr>
              <w:keepNext w:val="1"/>
              <w:keepLines w:val="1"/>
              <w:pageBreakBefore w:val="0"/>
              <w:ind w:left="45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Lindsay </w:t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Carol</w:t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 groups formation 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5.0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Replacing the current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rtl w:val="0"/>
                </w:rPr>
                <w:t xml:space="preserve">Immunization Records Information System (IRIS)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Immunization Records Information System (IRIS)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20"/>
                <w:szCs w:val="20"/>
                <w:rtl w:val="0"/>
              </w:rPr>
              <w:t xml:space="preserve">Will need to update this resource, plan to come back to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rFonts w:ascii="Calibri" w:cs="Calibri" w:eastAsia="Calibri" w:hAnsi="Calibri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plan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 workplan_CI Imms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20"/>
                <w:szCs w:val="20"/>
                <w:rtl w:val="0"/>
              </w:rPr>
              <w:t xml:space="preserve">Location for tracking work progress</w:t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color w:val="9900ff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20"/>
                <w:szCs w:val="20"/>
                <w:shd w:fill="ff9900" w:val="clear"/>
                <w:rtl w:val="0"/>
              </w:rPr>
              <w:t xml:space="preserve">-&gt;Vidya to update and resend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7.0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Information sharing and updates by group members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Next steps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Vidya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1"/>
              <w:keepLines w:val="1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Next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Vidya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6"/>
        </w:tabs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Meeting minutes takers in alphabetic order by last name</w:t>
      </w:r>
    </w:p>
    <w:tbl>
      <w:tblPr>
        <w:tblStyle w:val="Table4"/>
        <w:tblW w:w="8059.836909871245" w:type="dxa"/>
        <w:jc w:val="left"/>
        <w:tblInd w:w="-21.999999999999993" w:type="dxa"/>
        <w:tblLayout w:type="fixed"/>
        <w:tblLook w:val="0400"/>
      </w:tblPr>
      <w:tblGrid>
        <w:gridCol w:w="2869.8369098712446"/>
        <w:gridCol w:w="2835"/>
        <w:gridCol w:w="2355"/>
        <w:tblGridChange w:id="0">
          <w:tblGrid>
            <w:gridCol w:w="2869.8369098712446"/>
            <w:gridCol w:w="2835"/>
            <w:gridCol w:w="235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Meeting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Andi Bunko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26,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Carole Craig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Danielle Hachborn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Jasantha Naidoo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Jordan Robson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Kristen Wheeler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Lindsay Whitmore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Melissa MacLeod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Vidya Sunil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ind w:left="0" w:firstLine="0"/>
        <w:rPr>
          <w:rFonts w:ascii="Calibri" w:cs="Calibri" w:eastAsia="Calibri" w:hAnsi="Calibri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1"/>
        <w:keepLines w:val="1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1134" w:left="907" w:right="907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onymous" w:id="1" w:date="2017-09-26T18:08:15Z"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all HUs are participating in RRFSS, therefore data not available for all, CCHS</w:t>
      </w:r>
    </w:p>
  </w:comment>
  <w:comment w:author="Anonymous" w:id="0" w:date="2017-09-26T18:10:45Z"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Priority 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Style w:val="Title"/>
      <w:pageBreakBefore w:val="0"/>
      <w:jc w:val="left"/>
      <w:rPr>
        <w:rFonts w:ascii="Calibri" w:cs="Calibri" w:eastAsia="Calibri" w:hAnsi="Calibri"/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Immunization Working Group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Style w:val="Title"/>
      <w:pageBreakBefore w:val="0"/>
      <w:spacing w:after="720" w:lineRule="auto"/>
      <w:ind w:firstLine="6663"/>
      <w:jc w:val="left"/>
      <w:rPr>
        <w:rFonts w:ascii="Calibri" w:cs="Calibri" w:eastAsia="Calibri" w:hAnsi="Calibri"/>
        <w:b w:val="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pageBreakBefore w:val="0"/>
    </w:pPr>
    <w:rPr>
      <w:rFonts w:ascii="Arial" w:cs="Arial" w:eastAsia="Arial" w:hAnsi="Arial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yperlink" Target="https://docs.google.com/document/d/1iAAS9xiQM-pQ3JTJkvEbHGrY3-sc9tdXIivQzw5BuqU/edit" TargetMode="External"/><Relationship Id="rId9" Type="http://schemas.openxmlformats.org/officeDocument/2006/relationships/hyperlink" Target="http://core.apheo.ca/index.php?pid=205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_9Zl9nB69blVwYD9tzoQe7j0YI6OPcUe_N-WpsopEPI/edit" TargetMode="External"/><Relationship Id="rId8" Type="http://schemas.openxmlformats.org/officeDocument/2006/relationships/hyperlink" Target="http://core.apheo.ca/index.php?pid=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