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bookmarkStart w:colFirst="0" w:colLast="0" w:name="_gjdgxs" w:id="0"/>
      <w:bookmarkEnd w:id="0"/>
      <w:r w:rsidDel="00000000" w:rsidR="00000000" w:rsidRPr="00000000">
        <w:rPr>
          <w:rtl w:val="0"/>
        </w:rPr>
        <w:t xml:space="preserve">Health Outcomes Core Indicator Work Group Meeting Minutes</w:t>
      </w:r>
    </w:p>
    <w:p w:rsidR="00000000" w:rsidDel="00000000" w:rsidP="00000000" w:rsidRDefault="00000000" w:rsidRPr="00000000" w14:paraId="00000002">
      <w:pPr>
        <w:pageBreakBefore w:val="0"/>
        <w:rPr>
          <w:sz w:val="20"/>
          <w:szCs w:val="20"/>
        </w:rPr>
      </w:pPr>
      <w:bookmarkStart w:colFirst="0" w:colLast="0" w:name="_30j0zll" w:id="1"/>
      <w:bookmarkEnd w:id="1"/>
      <w:r w:rsidDel="00000000" w:rsidR="00000000" w:rsidRPr="00000000">
        <w:rPr>
          <w:sz w:val="20"/>
          <w:szCs w:val="20"/>
          <w:rtl w:val="0"/>
        </w:rPr>
        <w:t xml:space="preserve"> </w:t>
      </w:r>
    </w:p>
    <w:tbl>
      <w:tblPr>
        <w:tblStyle w:val="Table1"/>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30"/>
        <w:gridCol w:w="1080"/>
        <w:gridCol w:w="2460"/>
        <w:gridCol w:w="1095"/>
        <w:gridCol w:w="2655"/>
        <w:tblGridChange w:id="0">
          <w:tblGrid>
            <w:gridCol w:w="1830"/>
            <w:gridCol w:w="1080"/>
            <w:gridCol w:w="2460"/>
            <w:gridCol w:w="1095"/>
            <w:gridCol w:w="2655"/>
          </w:tblGrid>
        </w:tblGridChange>
      </w:tblGrid>
      <w:tr>
        <w:trPr>
          <w:cantSplit w:val="0"/>
          <w:trHeight w:val="78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pageBreakBefore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05">
            <w:pPr>
              <w:pageBreakBefore w:val="0"/>
              <w:jc w:val="cente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pageBreakBefore w:val="0"/>
              <w:rPr>
                <w:b w:val="1"/>
                <w:sz w:val="20"/>
                <w:szCs w:val="20"/>
              </w:rPr>
            </w:pPr>
            <w:r w:rsidDel="00000000" w:rsidR="00000000" w:rsidRPr="00000000">
              <w:rPr>
                <w:b w:val="1"/>
                <w:sz w:val="20"/>
                <w:szCs w:val="20"/>
                <w:rtl w:val="0"/>
              </w:rPr>
              <w:t xml:space="preserve">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December 4, 2018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pageBreakBefore w:val="0"/>
              <w:rPr>
                <w:b w:val="1"/>
                <w:sz w:val="20"/>
                <w:szCs w:val="20"/>
              </w:rPr>
            </w:pPr>
            <w:r w:rsidDel="00000000" w:rsidR="00000000" w:rsidRPr="00000000">
              <w:rPr>
                <w:b w:val="1"/>
                <w:sz w:val="20"/>
                <w:szCs w:val="20"/>
                <w:rtl w:val="0"/>
              </w:rPr>
              <w:t xml:space="preserve">Chair:</w:t>
            </w:r>
          </w:p>
          <w:p w:rsidR="00000000" w:rsidDel="00000000" w:rsidP="00000000" w:rsidRDefault="00000000" w:rsidRPr="00000000" w14:paraId="00000009">
            <w:pPr>
              <w:pageBreakBefore w:val="0"/>
              <w:rPr>
                <w:b w:val="1"/>
                <w:sz w:val="20"/>
                <w:szCs w:val="20"/>
              </w:rPr>
            </w:pPr>
            <w:r w:rsidDel="00000000" w:rsidR="00000000" w:rsidRPr="00000000">
              <w:rPr>
                <w:b w:val="1"/>
                <w:sz w:val="20"/>
                <w:szCs w:val="20"/>
                <w:rtl w:val="0"/>
              </w:rPr>
              <w:t xml:space="preserve">Recorder: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John Barbaro</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John Barbaro</w:t>
            </w:r>
          </w:p>
        </w:tc>
      </w:tr>
      <w:tr>
        <w:trPr>
          <w:cantSplit w:val="0"/>
          <w:trHeight w:val="78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rPr>
                <w:b w:val="1"/>
                <w:sz w:val="20"/>
                <w:szCs w:val="20"/>
              </w:rPr>
            </w:pPr>
            <w:r w:rsidDel="00000000" w:rsidR="00000000" w:rsidRPr="00000000">
              <w:rPr>
                <w:b w:val="1"/>
                <w:sz w:val="20"/>
                <w:szCs w:val="20"/>
                <w:rtl w:val="0"/>
              </w:rPr>
              <w:t xml:space="preserve">Time: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1:30 p.m. – 3.00 pm</w:t>
            </w:r>
          </w:p>
        </w:tc>
      </w:tr>
      <w:tr>
        <w:trPr>
          <w:cantSplit w:val="0"/>
          <w:trHeight w:val="19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pageBreakBefore w:val="0"/>
              <w:rPr>
                <w:b w:val="1"/>
                <w:sz w:val="20"/>
                <w:szCs w:val="20"/>
              </w:rPr>
            </w:pPr>
            <w:r w:rsidDel="00000000" w:rsidR="00000000" w:rsidRPr="00000000">
              <w:rPr>
                <w:b w:val="1"/>
                <w:sz w:val="20"/>
                <w:szCs w:val="20"/>
                <w:rtl w:val="0"/>
              </w:rPr>
              <w:t xml:space="preserve">Call in details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Teleconference Info:</w:t>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Local:  (416) 850-2050</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Toll-Free:  1-866-261-6767</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 Access Code: 2581093#</w:t>
            </w:r>
          </w:p>
        </w:tc>
      </w:tr>
    </w:tbl>
    <w:p w:rsidR="00000000" w:rsidDel="00000000" w:rsidP="00000000" w:rsidRDefault="00000000" w:rsidRPr="00000000" w14:paraId="00000019">
      <w:pPr>
        <w:pageBreakBefore w:val="0"/>
        <w:spacing w:after="240" w:lineRule="auto"/>
        <w:rPr/>
      </w:pPr>
      <w:r w:rsidDel="00000000" w:rsidR="00000000" w:rsidRPr="00000000">
        <w:rPr>
          <w:rtl w:val="0"/>
        </w:rPr>
        <w:t xml:space="preserve"> </w:t>
      </w:r>
    </w:p>
    <w:tbl>
      <w:tblPr>
        <w:tblStyle w:val="Table2"/>
        <w:tblW w:w="9120.0" w:type="dxa"/>
        <w:jc w:val="left"/>
        <w:tblInd w:w="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4365"/>
        <w:gridCol w:w="2295"/>
        <w:tblGridChange w:id="0">
          <w:tblGrid>
            <w:gridCol w:w="2460"/>
            <w:gridCol w:w="4365"/>
            <w:gridCol w:w="2295"/>
          </w:tblGrid>
        </w:tblGridChange>
      </w:tblGrid>
      <w:tr>
        <w:trPr>
          <w:cantSplit w:val="0"/>
          <w:trHeight w:val="3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A">
            <w:pPr>
              <w:pageBreakBefore w:val="0"/>
              <w:jc w:val="center"/>
              <w:rPr>
                <w:b w:val="1"/>
                <w:sz w:val="20"/>
                <w:szCs w:val="20"/>
              </w:rPr>
            </w:pPr>
            <w:r w:rsidDel="00000000" w:rsidR="00000000" w:rsidRPr="00000000">
              <w:rPr>
                <w:b w:val="1"/>
                <w:sz w:val="20"/>
                <w:szCs w:val="20"/>
                <w:rtl w:val="0"/>
              </w:rPr>
              <w:t xml:space="preserve">Members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B">
            <w:pPr>
              <w:pageBreakBefore w:val="0"/>
              <w:jc w:val="center"/>
              <w:rPr>
                <w:b w:val="1"/>
                <w:sz w:val="20"/>
                <w:szCs w:val="20"/>
              </w:rPr>
            </w:pPr>
            <w:r w:rsidDel="00000000" w:rsidR="00000000" w:rsidRPr="00000000">
              <w:rPr>
                <w:b w:val="1"/>
                <w:sz w:val="20"/>
                <w:szCs w:val="20"/>
                <w:rtl w:val="0"/>
              </w:rPr>
              <w:t xml:space="preserve">Organization</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pageBreakBefore w:val="0"/>
              <w:jc w:val="center"/>
              <w:rPr>
                <w:b w:val="1"/>
                <w:sz w:val="20"/>
                <w:szCs w:val="20"/>
              </w:rPr>
            </w:pPr>
            <w:r w:rsidDel="00000000" w:rsidR="00000000" w:rsidRPr="00000000">
              <w:rPr>
                <w:b w:val="1"/>
                <w:sz w:val="20"/>
                <w:szCs w:val="20"/>
                <w:rtl w:val="0"/>
              </w:rPr>
              <w:t xml:space="preserve">Attendance</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Erica Sawula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Thunder Bay District Health Unit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1F">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Jasmin Lau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City of Toronto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2">
            <w:pPr>
              <w:pageBreakBefore w:val="0"/>
              <w:spacing w:after="0" w:lineRule="auto"/>
              <w:ind w:left="280" w:right="220"/>
              <w:jc w:val="center"/>
              <w:rPr>
                <w:sz w:val="20"/>
                <w:szCs w:val="20"/>
              </w:rPr>
            </w:pPr>
            <w:r w:rsidDel="00000000" w:rsidR="00000000" w:rsidRPr="00000000">
              <w:rPr>
                <w:rtl w:val="0"/>
              </w:rPr>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Jeanette Bourne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Public Health Agency of Canada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5">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Jeremy Herring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Public Health Ontario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8">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Laera Gattoni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Toronto Central LHIN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B">
            <w:pPr>
              <w:pageBreakBefore w:val="0"/>
              <w:spacing w:after="0" w:lineRule="auto"/>
              <w:ind w:left="280" w:right="18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Laura Zettler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Chatham-Kent Public Health Unit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E">
            <w:pPr>
              <w:pageBreakBefore w:val="0"/>
              <w:spacing w:after="0" w:lineRule="auto"/>
              <w:ind w:left="280" w:right="18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Michael King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Public Health Sudbury &amp; Districts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1">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Philip Cavicchia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Region of Peel, Public Health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4">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Shusmita Rahman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Toronto Public Health </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7">
            <w:pPr>
              <w:pageBreakBefore w:val="0"/>
              <w:spacing w:after="0" w:lineRule="auto"/>
              <w:ind w:left="280" w:right="220"/>
              <w:jc w:val="center"/>
              <w:rPr>
                <w:sz w:val="20"/>
                <w:szCs w:val="20"/>
              </w:rPr>
            </w:pPr>
            <w:r w:rsidDel="00000000" w:rsidR="00000000" w:rsidRPr="00000000">
              <w:rPr>
                <w:sz w:val="20"/>
                <w:szCs w:val="20"/>
                <w:rtl w:val="0"/>
              </w:rPr>
              <w:t xml:space="preserve">X</w:t>
            </w:r>
          </w:p>
        </w:tc>
      </w:tr>
      <w:tr>
        <w:trPr>
          <w:cantSplit w:val="0"/>
          <w:trHeight w:val="280" w:hRule="atLeast"/>
          <w:tblHeader w:val="0"/>
        </w:trPr>
        <w:tc>
          <w:tcPr>
            <w:tcBorders>
              <w:left w:color="000000" w:space="0" w:sz="8" w:val="single"/>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John Barbaro</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Simcoe Muskoka District Health Unit</w:t>
            </w:r>
          </w:p>
        </w:tc>
        <w:tc>
          <w:tcPr>
            <w:tcBorders>
              <w:bottom w:color="000000" w:space="0" w:sz="8" w:val="single"/>
              <w:right w:color="000000" w:space="0" w:sz="8" w:val="single"/>
            </w:tcBorders>
            <w:shd w:fill="auto" w:val="clear"/>
            <w:tcMar>
              <w:top w:w="5.0" w:type="dxa"/>
              <w:left w:w="5.0" w:type="dxa"/>
              <w:bottom w:w="5.0" w:type="dxa"/>
              <w:right w:w="5.0" w:type="dxa"/>
            </w:tcMar>
          </w:tcPr>
          <w:p w:rsidR="00000000" w:rsidDel="00000000" w:rsidP="00000000" w:rsidRDefault="00000000" w:rsidRPr="00000000" w14:paraId="0000003A">
            <w:pPr>
              <w:pageBreakBefore w:val="0"/>
              <w:spacing w:after="0" w:lineRule="auto"/>
              <w:ind w:left="280" w:right="220"/>
              <w:jc w:val="center"/>
              <w:rPr>
                <w:sz w:val="20"/>
                <w:szCs w:val="20"/>
              </w:rPr>
            </w:pPr>
            <w:r w:rsidDel="00000000" w:rsidR="00000000" w:rsidRPr="00000000">
              <w:rPr>
                <w:sz w:val="20"/>
                <w:szCs w:val="20"/>
                <w:rtl w:val="0"/>
              </w:rPr>
              <w:t xml:space="preserve">X</w:t>
            </w:r>
          </w:p>
        </w:tc>
      </w:tr>
    </w:tbl>
    <w:p w:rsidR="00000000" w:rsidDel="00000000" w:rsidP="00000000" w:rsidRDefault="00000000" w:rsidRPr="00000000" w14:paraId="0000003B">
      <w:pPr>
        <w:pageBreakBefore w:val="0"/>
        <w:rPr>
          <w:b w:val="1"/>
        </w:rPr>
      </w:pPr>
      <w:bookmarkStart w:colFirst="0" w:colLast="0" w:name="_1fob9te" w:id="2"/>
      <w:bookmarkEnd w:id="2"/>
      <w:r w:rsidDel="00000000" w:rsidR="00000000" w:rsidRPr="00000000">
        <w:rPr>
          <w:b w:val="1"/>
          <w:rtl w:val="0"/>
        </w:rPr>
        <w:t xml:space="preserve"> </w:t>
      </w:r>
    </w:p>
    <w:tbl>
      <w:tblPr>
        <w:tblStyle w:val="Table3"/>
        <w:tblW w:w="91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40"/>
        <w:gridCol w:w="6330"/>
        <w:gridCol w:w="1665"/>
        <w:tblGridChange w:id="0">
          <w:tblGrid>
            <w:gridCol w:w="1140"/>
            <w:gridCol w:w="6330"/>
            <w:gridCol w:w="1665"/>
          </w:tblGrid>
        </w:tblGridChange>
      </w:tblGrid>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pageBreakBefore w:val="0"/>
              <w:rPr>
                <w:b w:val="1"/>
              </w:rPr>
            </w:pPr>
            <w:r w:rsidDel="00000000" w:rsidR="00000000" w:rsidRPr="00000000">
              <w:rPr>
                <w:b w:val="1"/>
                <w:rtl w:val="0"/>
              </w:rPr>
              <w:t xml:space="preserve">Item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pageBreakBefore w:val="0"/>
              <w:rPr>
                <w:b w:val="1"/>
              </w:rPr>
            </w:pPr>
            <w:r w:rsidDel="00000000" w:rsidR="00000000" w:rsidRPr="00000000">
              <w:rPr>
                <w:b w:val="1"/>
                <w:rtl w:val="0"/>
              </w:rPr>
              <w:t xml:space="preserve">Item Discussion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ageBreakBefore w:val="0"/>
              <w:rPr>
                <w:b w:val="1"/>
              </w:rPr>
            </w:pPr>
            <w:r w:rsidDel="00000000" w:rsidR="00000000" w:rsidRPr="00000000">
              <w:rPr>
                <w:b w:val="1"/>
                <w:rtl w:val="0"/>
              </w:rPr>
              <w:t xml:space="preserve">Actions</w:t>
            </w:r>
          </w:p>
        </w:tc>
      </w:tr>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pageBreakBefore w:val="0"/>
              <w:rPr>
                <w:b w:val="1"/>
              </w:rPr>
            </w:pPr>
            <w:bookmarkStart w:colFirst="0" w:colLast="0" w:name="_3znysh7" w:id="3"/>
            <w:bookmarkEnd w:id="3"/>
            <w:r w:rsidDel="00000000" w:rsidR="00000000" w:rsidRPr="00000000">
              <w:rPr>
                <w:b w:val="1"/>
                <w:rtl w:val="0"/>
              </w:rPr>
              <w:t xml:space="preserve"> 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pageBreakBefore w:val="0"/>
              <w:numPr>
                <w:ilvl w:val="0"/>
                <w:numId w:val="1"/>
              </w:numPr>
              <w:spacing w:after="0" w:lineRule="auto"/>
              <w:ind w:left="720" w:hanging="360"/>
              <w:rPr>
                <w:rFonts w:ascii="Arial" w:cs="Arial" w:eastAsia="Arial" w:hAnsi="Arial"/>
              </w:rPr>
            </w:pPr>
            <w:r w:rsidDel="00000000" w:rsidR="00000000" w:rsidRPr="00000000">
              <w:rPr>
                <w:b w:val="1"/>
                <w:rtl w:val="0"/>
              </w:rPr>
              <w:t xml:space="preserve">Welcome and Introduction</w:t>
            </w:r>
            <w:r w:rsidDel="00000000" w:rsidR="00000000" w:rsidRPr="00000000">
              <w:rPr>
                <w:rtl w:val="0"/>
              </w:rPr>
            </w:r>
          </w:p>
          <w:p w:rsidR="00000000" w:rsidDel="00000000" w:rsidP="00000000" w:rsidRDefault="00000000" w:rsidRPr="00000000" w14:paraId="00000041">
            <w:pPr>
              <w:pageBreakBefore w:val="0"/>
              <w:numPr>
                <w:ilvl w:val="0"/>
                <w:numId w:val="1"/>
              </w:numPr>
              <w:spacing w:after="0" w:before="0" w:lineRule="auto"/>
              <w:ind w:left="720" w:hanging="360"/>
              <w:rPr>
                <w:rFonts w:ascii="Arial" w:cs="Arial" w:eastAsia="Arial" w:hAnsi="Arial"/>
              </w:rPr>
            </w:pPr>
            <w:r w:rsidDel="00000000" w:rsidR="00000000" w:rsidRPr="00000000">
              <w:rPr>
                <w:b w:val="1"/>
                <w:rtl w:val="0"/>
              </w:rPr>
              <w:t xml:space="preserve">Confirming recorder for meetings</w:t>
            </w:r>
            <w:r w:rsidDel="00000000" w:rsidR="00000000" w:rsidRPr="00000000">
              <w:rPr>
                <w:rtl w:val="0"/>
              </w:rPr>
            </w:r>
          </w:p>
          <w:p w:rsidR="00000000" w:rsidDel="00000000" w:rsidP="00000000" w:rsidRDefault="00000000" w:rsidRPr="00000000" w14:paraId="00000042">
            <w:pPr>
              <w:pageBreakBefore w:val="0"/>
              <w:numPr>
                <w:ilvl w:val="1"/>
                <w:numId w:val="1"/>
              </w:numPr>
              <w:spacing w:before="0" w:lineRule="auto"/>
              <w:ind w:left="1440" w:hanging="360"/>
              <w:rPr>
                <w:rFonts w:ascii="Arial" w:cs="Arial" w:eastAsia="Arial" w:hAnsi="Arial"/>
              </w:rPr>
            </w:pPr>
            <w:r w:rsidDel="00000000" w:rsidR="00000000" w:rsidRPr="00000000">
              <w:rPr>
                <w:rtl w:val="0"/>
              </w:rPr>
              <w:t xml:space="preserve">Recorders will rotate alphabetically by last name. Recorder for next meeting is Jeanette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pageBreakBefore w:val="0"/>
              <w:rPr>
                <w:b w:val="1"/>
              </w:rPr>
            </w:pPr>
            <w:r w:rsidDel="00000000" w:rsidR="00000000" w:rsidRPr="00000000">
              <w:rPr>
                <w:b w:val="1"/>
                <w:rtl w:val="0"/>
              </w:rPr>
              <w:t xml:space="preserve">John</w:t>
            </w:r>
          </w:p>
          <w:p w:rsidR="00000000" w:rsidDel="00000000" w:rsidP="00000000" w:rsidRDefault="00000000" w:rsidRPr="00000000" w14:paraId="00000044">
            <w:pPr>
              <w:pageBreakBefore w:val="0"/>
              <w:rPr>
                <w:b w:val="1"/>
              </w:rPr>
            </w:pPr>
            <w:r w:rsidDel="00000000" w:rsidR="00000000" w:rsidRPr="00000000">
              <w:rPr>
                <w:b w:val="1"/>
                <w:rtl w:val="0"/>
              </w:rPr>
              <w:t xml:space="preserve">John</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pageBreakBefore w:val="0"/>
              <w:rPr>
                <w:b w:val="1"/>
              </w:rPr>
            </w:pPr>
            <w:r w:rsidDel="00000000" w:rsidR="00000000" w:rsidRPr="00000000">
              <w:rPr>
                <w:b w:val="1"/>
                <w:rtl w:val="0"/>
              </w:rPr>
              <w:t xml:space="preserve">2.0</w:t>
            </w:r>
          </w:p>
          <w:p w:rsidR="00000000" w:rsidDel="00000000" w:rsidP="00000000" w:rsidRDefault="00000000" w:rsidRPr="00000000" w14:paraId="00000046">
            <w:pPr>
              <w:pageBreakBefore w:val="0"/>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pageBreakBefore w:val="0"/>
              <w:rPr>
                <w:b w:val="1"/>
              </w:rPr>
            </w:pPr>
            <w:r w:rsidDel="00000000" w:rsidR="00000000" w:rsidRPr="00000000">
              <w:rPr>
                <w:b w:val="1"/>
                <w:rtl w:val="0"/>
              </w:rPr>
              <w:t xml:space="preserve">Indicators -</w:t>
            </w:r>
          </w:p>
          <w:p w:rsidR="00000000" w:rsidDel="00000000" w:rsidP="00000000" w:rsidRDefault="00000000" w:rsidRPr="00000000" w14:paraId="00000048">
            <w:pPr>
              <w:pageBreakBefore w:val="0"/>
              <w:rPr>
                <w:b w:val="1"/>
              </w:rPr>
            </w:pPr>
            <w:bookmarkStart w:colFirst="0" w:colLast="0" w:name="_2et92p0" w:id="4"/>
            <w:bookmarkEnd w:id="4"/>
            <w:hyperlink r:id="rId6">
              <w:r w:rsidDel="00000000" w:rsidR="00000000" w:rsidRPr="00000000">
                <w:rPr>
                  <w:b w:val="1"/>
                  <w:color w:val="1155cc"/>
                  <w:u w:val="single"/>
                  <w:rtl w:val="0"/>
                </w:rPr>
                <w:t xml:space="preserve">https://docs.google.com/document/d/1g9joQM9m0N8zKM6oVWJXP0NlSNwaOUw44c714TOSmHo/edit</w:t>
              </w:r>
            </w:hyperlink>
            <w:r w:rsidDel="00000000" w:rsidR="00000000" w:rsidRPr="00000000">
              <w:rPr>
                <w:b w:val="1"/>
                <w:rtl w:val="0"/>
              </w:rPr>
              <w:t xml:space="preserve"> </w:t>
            </w:r>
          </w:p>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rPr>
                <w:b w:val="1"/>
              </w:rPr>
            </w:pPr>
            <w:r w:rsidDel="00000000" w:rsidR="00000000" w:rsidRPr="00000000">
              <w:rPr>
                <w:b w:val="1"/>
                <w:rtl w:val="0"/>
              </w:rPr>
              <w:t xml:space="preserve">Mortality </w:t>
            </w:r>
          </w:p>
          <w:p w:rsidR="00000000" w:rsidDel="00000000" w:rsidP="00000000" w:rsidRDefault="00000000" w:rsidRPr="00000000" w14:paraId="0000004B">
            <w:pPr>
              <w:pageBreakBefore w:val="0"/>
              <w:rPr/>
            </w:pPr>
            <w:r w:rsidDel="00000000" w:rsidR="00000000" w:rsidRPr="00000000">
              <w:rPr>
                <w:b w:val="1"/>
                <w:rtl w:val="0"/>
              </w:rPr>
              <w:t xml:space="preserve">– </w:t>
            </w:r>
            <w:r w:rsidDel="00000000" w:rsidR="00000000" w:rsidRPr="00000000">
              <w:rPr>
                <w:rtl w:val="0"/>
              </w:rPr>
              <w:t xml:space="preserve">removed</w:t>
            </w:r>
            <w:r w:rsidDel="00000000" w:rsidR="00000000" w:rsidRPr="00000000">
              <w:rPr>
                <w:b w:val="1"/>
                <w:rtl w:val="0"/>
              </w:rPr>
              <w:t xml:space="preserve"> ‘</w:t>
            </w:r>
            <w:hyperlink r:id="rId7">
              <w:r w:rsidDel="00000000" w:rsidR="00000000" w:rsidRPr="00000000">
                <w:rPr>
                  <w:color w:val="0000ff"/>
                  <w:u w:val="single"/>
                  <w:rtl w:val="0"/>
                </w:rPr>
                <w:t xml:space="preserve">Child and Adolescent Mortality</w:t>
              </w:r>
            </w:hyperlink>
            <w:r w:rsidDel="00000000" w:rsidR="00000000" w:rsidRPr="00000000">
              <w:rPr>
                <w:rtl w:val="0"/>
              </w:rPr>
              <w:t xml:space="preserve">’ and will include age-specific mortality under ‘</w:t>
            </w:r>
            <w:hyperlink r:id="rId8">
              <w:r w:rsidDel="00000000" w:rsidR="00000000" w:rsidRPr="00000000">
                <w:rPr>
                  <w:color w:val="0000ff"/>
                  <w:u w:val="single"/>
                  <w:rtl w:val="0"/>
                </w:rPr>
                <w:t xml:space="preserve">All Cause Mortality</w:t>
              </w:r>
            </w:hyperlink>
            <w:r w:rsidDel="00000000" w:rsidR="00000000" w:rsidRPr="00000000">
              <w:rPr>
                <w:rtl w:val="0"/>
              </w:rPr>
              <w:t xml:space="preserve">’. </w:t>
            </w:r>
          </w:p>
          <w:p w:rsidR="00000000" w:rsidDel="00000000" w:rsidP="00000000" w:rsidRDefault="00000000" w:rsidRPr="00000000" w14:paraId="0000004C">
            <w:pPr>
              <w:pageBreakBefore w:val="0"/>
              <w:rPr/>
            </w:pPr>
            <w:r w:rsidDel="00000000" w:rsidR="00000000" w:rsidRPr="00000000">
              <w:rPr>
                <w:rtl w:val="0"/>
              </w:rPr>
              <w:t xml:space="preserve">Agreed to add a new indicator page for Leading Causes and to remove this from the ‘All Cause Mortality’ page.</w:t>
            </w:r>
          </w:p>
          <w:p w:rsidR="00000000" w:rsidDel="00000000" w:rsidP="00000000" w:rsidRDefault="00000000" w:rsidRPr="00000000" w14:paraId="0000004D">
            <w:pPr>
              <w:pageBreakBefore w:val="0"/>
              <w:rPr/>
            </w:pPr>
            <w:r w:rsidDel="00000000" w:rsidR="00000000" w:rsidRPr="00000000">
              <w:rPr>
                <w:rtl w:val="0"/>
              </w:rPr>
              <w:t xml:space="preserve">Some discussion around how to deal with the PYLL page and other indicators of ‘premature mortality’ (e.g. existing preventable mortality or an all-cause premature mortality for &lt;75 years). Consensus was not reached on this issue at this meeting. Will be discussed again at the next meeting.</w:t>
            </w:r>
          </w:p>
          <w:p w:rsidR="00000000" w:rsidDel="00000000" w:rsidP="00000000" w:rsidRDefault="00000000" w:rsidRPr="00000000" w14:paraId="0000004E">
            <w:pPr>
              <w:pageBreakBefore w:val="0"/>
              <w:rPr/>
            </w:pPr>
            <w:r w:rsidDel="00000000" w:rsidR="00000000" w:rsidRPr="00000000">
              <w:rPr>
                <w:rtl w:val="0"/>
              </w:rPr>
              <w:t xml:space="preserve">Jeanette shared a link with John after the meeting to the health inequalities data tool that was created last year by PHAC. They called the Mortality section: Mortality &amp; Life Expectancy which includes all-cause mortality, PYLL, Life Expectancy, HALE, and other mortality indicators.</w:t>
            </w:r>
          </w:p>
          <w:p w:rsidR="00000000" w:rsidDel="00000000" w:rsidP="00000000" w:rsidRDefault="00000000" w:rsidRPr="00000000" w14:paraId="0000004F">
            <w:pPr>
              <w:pageBreakBefore w:val="0"/>
              <w:rPr>
                <w:color w:val="1155cc"/>
                <w:u w:val="single"/>
              </w:rPr>
            </w:pPr>
            <w:r w:rsidDel="00000000" w:rsidR="00000000" w:rsidRPr="00000000">
              <w:rPr>
                <w:rtl w:val="0"/>
              </w:rPr>
              <w:t xml:space="preserve"> </w:t>
            </w:r>
            <w:r w:rsidDel="00000000" w:rsidR="00000000" w:rsidRPr="00000000">
              <w:fldChar w:fldCharType="begin"/>
              <w:instrText xml:space="preserve"> HYPERLINK "https://infobase.phac-aspc.gc.ca/health-inequalities/data-tool/" </w:instrText>
              <w:fldChar w:fldCharType="separate"/>
            </w:r>
            <w:r w:rsidDel="00000000" w:rsidR="00000000" w:rsidRPr="00000000">
              <w:rPr>
                <w:color w:val="1155cc"/>
                <w:u w:val="single"/>
                <w:rtl w:val="0"/>
              </w:rPr>
              <w:t xml:space="preserve">https://infobase.phac-aspc.gc.ca/health-inequalities/data-tool/</w:t>
            </w:r>
          </w:p>
          <w:p w:rsidR="00000000" w:rsidDel="00000000" w:rsidP="00000000" w:rsidRDefault="00000000" w:rsidRPr="00000000" w14:paraId="00000050">
            <w:pPr>
              <w:pageBreakBefore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51">
            <w:pPr>
              <w:pageBreakBefore w:val="0"/>
              <w:rPr/>
            </w:pPr>
            <w:r w:rsidDel="00000000" w:rsidR="00000000" w:rsidRPr="00000000">
              <w:rPr>
                <w:b w:val="1"/>
                <w:rtl w:val="0"/>
              </w:rPr>
              <w:t xml:space="preserve">Morbidity </w:t>
            </w:r>
            <w:r w:rsidDel="00000000" w:rsidR="00000000" w:rsidRPr="00000000">
              <w:rPr>
                <w:rtl w:val="0"/>
              </w:rPr>
              <w:t xml:space="preserve">– didn’t review</w:t>
            </w:r>
          </w:p>
          <w:p w:rsidR="00000000" w:rsidDel="00000000" w:rsidP="00000000" w:rsidRDefault="00000000" w:rsidRPr="00000000" w14:paraId="00000052">
            <w:pPr>
              <w:pageBreakBefore w:val="0"/>
              <w:rPr>
                <w:b w:val="1"/>
              </w:rPr>
            </w:pPr>
            <w:r w:rsidDel="00000000" w:rsidR="00000000" w:rsidRPr="00000000">
              <w:rPr>
                <w:b w:val="1"/>
                <w:rtl w:val="0"/>
              </w:rPr>
              <w:t xml:space="preserve">Quality of Life </w:t>
            </w:r>
            <w:r w:rsidDel="00000000" w:rsidR="00000000" w:rsidRPr="00000000">
              <w:rPr>
                <w:rtl w:val="0"/>
              </w:rPr>
              <w:t xml:space="preserve">– didn’t review</w:t>
            </w:r>
            <w:r w:rsidDel="00000000" w:rsidR="00000000" w:rsidRPr="00000000">
              <w:rPr>
                <w:rtl w:val="0"/>
              </w:rPr>
            </w:r>
          </w:p>
          <w:p w:rsidR="00000000" w:rsidDel="00000000" w:rsidP="00000000" w:rsidRDefault="00000000" w:rsidRPr="00000000" w14:paraId="00000053">
            <w:pPr>
              <w:pageBreakBefore w:val="0"/>
              <w:rPr>
                <w:b w:val="1"/>
              </w:rPr>
            </w:pPr>
            <w:r w:rsidDel="00000000" w:rsidR="00000000" w:rsidRPr="00000000">
              <w:rPr>
                <w:b w:val="1"/>
                <w:rtl w:val="0"/>
              </w:rPr>
              <w:t xml:space="preserve">Use of Health Services </w:t>
            </w:r>
            <w:r w:rsidDel="00000000" w:rsidR="00000000" w:rsidRPr="00000000">
              <w:rPr>
                <w:rtl w:val="0"/>
              </w:rPr>
              <w:t xml:space="preserve">– the group felt that it was import to retain this category of indicators. Will recommend that dental visits be moved to the Oral Health group. Retained contact with health professional and regular health care provider – but may explore use of administrative data as the source instead of survey data. Also some discussion around appropriateness of denominator data (i.e. use of RPDB instead of Population Estimates). </w:t>
            </w: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pageBreakBefore w:val="0"/>
              <w:rPr>
                <w:b w:val="1"/>
              </w:rPr>
            </w:pPr>
            <w:r w:rsidDel="00000000" w:rsidR="00000000" w:rsidRPr="00000000">
              <w:rPr>
                <w:b w:val="1"/>
                <w:rtl w:val="0"/>
              </w:rPr>
              <w:t xml:space="preserve">All </w:t>
            </w:r>
            <w:r w:rsidDel="00000000" w:rsidR="00000000" w:rsidRPr="00000000">
              <w:rPr>
                <w:rtl w:val="0"/>
              </w:rPr>
              <w:t xml:space="preserve">to review the list and be prepared for discussion at the next meeting.</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b w:val="1"/>
                <w:rtl w:val="0"/>
              </w:rPr>
              <w:t xml:space="preserve">All </w:t>
            </w:r>
            <w:r w:rsidDel="00000000" w:rsidR="00000000" w:rsidRPr="00000000">
              <w:rPr>
                <w:rtl w:val="0"/>
              </w:rPr>
              <w:t xml:space="preserve">to consider a better name for the group as ‘Health Outcomes’ is too broad and also applies to the work of other subgroups</w:t>
            </w:r>
          </w:p>
          <w:p w:rsidR="00000000" w:rsidDel="00000000" w:rsidP="00000000" w:rsidRDefault="00000000" w:rsidRPr="00000000" w14:paraId="00000058">
            <w:pPr>
              <w:pageBreakBefore w:val="0"/>
              <w:rPr/>
            </w:pPr>
            <w:r w:rsidDel="00000000" w:rsidR="00000000" w:rsidRPr="00000000">
              <w:rPr>
                <w:b w:val="1"/>
                <w:rtl w:val="0"/>
              </w:rPr>
              <w:t xml:space="preserve">Jeremy/John –</w:t>
            </w:r>
            <w:r w:rsidDel="00000000" w:rsidR="00000000" w:rsidRPr="00000000">
              <w:rPr>
                <w:rtl w:val="0"/>
              </w:rPr>
              <w:t xml:space="preserve"> to post the list of available CCHS modules to the workgroups document section.</w:t>
            </w:r>
          </w:p>
          <w:p w:rsidR="00000000" w:rsidDel="00000000" w:rsidP="00000000" w:rsidRDefault="00000000" w:rsidRPr="00000000" w14:paraId="00000059">
            <w:pPr>
              <w:pageBreakBefore w:val="0"/>
              <w:rPr>
                <w:b w:val="1"/>
              </w:rPr>
            </w:pPr>
            <w:r w:rsidDel="00000000" w:rsidR="00000000" w:rsidRPr="00000000">
              <w:rPr>
                <w:b w:val="1"/>
                <w:rtl w:val="0"/>
              </w:rPr>
              <w:t xml:space="preserve">John </w:t>
            </w:r>
            <w:r w:rsidDel="00000000" w:rsidR="00000000" w:rsidRPr="00000000">
              <w:rPr>
                <w:rtl w:val="0"/>
              </w:rPr>
              <w:t xml:space="preserve">– to bring forward to RPDB as denominator at CIWG </w:t>
            </w:r>
            <w:r w:rsidDel="00000000" w:rsidR="00000000" w:rsidRPr="00000000">
              <w:rPr>
                <w:rtl w:val="0"/>
              </w:rPr>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pageBreakBefore w:val="0"/>
              <w:rPr>
                <w:b w:val="1"/>
              </w:rPr>
            </w:pPr>
            <w:r w:rsidDel="00000000" w:rsidR="00000000" w:rsidRPr="00000000">
              <w:rPr>
                <w:b w:val="1"/>
                <w:rtl w:val="0"/>
              </w:rPr>
              <w:t xml:space="preserve">2.1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pageBreakBefore w:val="0"/>
              <w:rPr>
                <w:b w:val="1"/>
              </w:rPr>
            </w:pPr>
            <w:r w:rsidDel="00000000" w:rsidR="00000000" w:rsidRPr="00000000">
              <w:rPr>
                <w:b w:val="1"/>
                <w:rtl w:val="0"/>
              </w:rPr>
              <w:t xml:space="preserve">Existing Indicators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pageBreakBefore w:val="0"/>
              <w:rPr>
                <w:b w:val="1"/>
              </w:rPr>
            </w:pPr>
            <w:r w:rsidDel="00000000" w:rsidR="00000000" w:rsidRPr="00000000">
              <w:rPr>
                <w:b w:val="1"/>
                <w:rtl w:val="0"/>
              </w:rPr>
              <w:t xml:space="preserve">Defer</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pageBreakBefore w:val="0"/>
              <w:rPr>
                <w:b w:val="1"/>
              </w:rPr>
            </w:pPr>
            <w:r w:rsidDel="00000000" w:rsidR="00000000" w:rsidRPr="00000000">
              <w:rPr>
                <w:b w:val="1"/>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pageBreakBefore w:val="0"/>
              <w:rPr>
                <w:b w:val="1"/>
              </w:rPr>
            </w:pPr>
            <w:r w:rsidDel="00000000" w:rsidR="00000000" w:rsidRPr="00000000">
              <w:rPr>
                <w:b w:val="1"/>
                <w:rtl w:val="0"/>
              </w:rPr>
              <w:t xml:space="preserve">New Indicators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pageBreakBefore w:val="0"/>
              <w:rPr>
                <w:b w:val="1"/>
              </w:rPr>
            </w:pPr>
            <w:r w:rsidDel="00000000" w:rsidR="00000000" w:rsidRPr="00000000">
              <w:rPr>
                <w:b w:val="1"/>
                <w:rtl w:val="0"/>
              </w:rPr>
              <w:t xml:space="preserve">Defer</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pageBreakBefore w:val="0"/>
              <w:rPr>
                <w:b w:val="1"/>
              </w:rPr>
            </w:pPr>
            <w:r w:rsidDel="00000000" w:rsidR="00000000" w:rsidRPr="00000000">
              <w:rPr>
                <w:b w:val="1"/>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pageBreakBefore w:val="0"/>
              <w:rPr>
                <w:b w:val="1"/>
              </w:rPr>
            </w:pPr>
            <w:r w:rsidDel="00000000" w:rsidR="00000000" w:rsidRPr="00000000">
              <w:rPr>
                <w:b w:val="1"/>
                <w:rtl w:val="0"/>
              </w:rPr>
              <w:t xml:space="preserve">Alignment of Indicators with New OPHS - </w:t>
            </w:r>
            <w:hyperlink r:id="rId9">
              <w:r w:rsidDel="00000000" w:rsidR="00000000" w:rsidRPr="00000000">
                <w:rPr>
                  <w:b w:val="1"/>
                  <w:color w:val="1155cc"/>
                  <w:u w:val="single"/>
                  <w:rtl w:val="0"/>
                </w:rPr>
                <w:t xml:space="preserve">https://docs.google.com/document/d/1at6lcZZ2K5FBh-af9bP6jYuEay1-Hno-oVGCH618rf8/edit</w:t>
              </w:r>
            </w:hyperlink>
            <w:r w:rsidDel="00000000" w:rsidR="00000000" w:rsidRPr="00000000">
              <w:rPr>
                <w:b w:val="1"/>
                <w:rtl w:val="0"/>
              </w:rPr>
              <w:t xml:space="preserve"> </w:t>
            </w:r>
          </w:p>
          <w:p w:rsidR="00000000" w:rsidDel="00000000" w:rsidP="00000000" w:rsidRDefault="00000000" w:rsidRPr="00000000" w14:paraId="00000062">
            <w:pPr>
              <w:pageBreakBefore w:val="0"/>
              <w:rPr/>
            </w:pPr>
            <w:r w:rsidDel="00000000" w:rsidR="00000000" w:rsidRPr="00000000">
              <w:rPr>
                <w:rtl w:val="0"/>
              </w:rPr>
              <w:t xml:space="preserve">Didn’t have time to review the document at the meeting but made reference to the need of aligning the indicators with the new OPHS. Also included as an objective in the work plan template.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pageBreakBefore w:val="0"/>
              <w:rPr>
                <w:b w:val="1"/>
              </w:rPr>
            </w:pPr>
            <w:r w:rsidDel="00000000" w:rsidR="00000000" w:rsidRPr="00000000">
              <w:rPr>
                <w:b w:val="1"/>
                <w:rtl w:val="0"/>
              </w:rPr>
              <w:t xml:space="preserve">John/Jeremy</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pageBreakBefore w:val="0"/>
              <w:rPr>
                <w:b w:val="1"/>
              </w:rPr>
            </w:pPr>
            <w:r w:rsidDel="00000000" w:rsidR="00000000" w:rsidRPr="00000000">
              <w:rPr>
                <w:b w:val="1"/>
                <w:rtl w:val="0"/>
              </w:rPr>
              <w:t xml:space="preserve">4.0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pageBreakBefore w:val="0"/>
              <w:rPr>
                <w:b w:val="1"/>
              </w:rPr>
            </w:pPr>
            <w:r w:rsidDel="00000000" w:rsidR="00000000" w:rsidRPr="00000000">
              <w:rPr>
                <w:b w:val="1"/>
                <w:rtl w:val="0"/>
              </w:rPr>
              <w:t xml:space="preserve">Small-Area Life Expectancy Methods</w:t>
            </w:r>
          </w:p>
          <w:p w:rsidR="00000000" w:rsidDel="00000000" w:rsidP="00000000" w:rsidRDefault="00000000" w:rsidRPr="00000000" w14:paraId="00000066">
            <w:pPr>
              <w:pageBreakBefore w:val="0"/>
              <w:spacing w:after="0" w:line="240" w:lineRule="auto"/>
              <w:rPr/>
            </w:pPr>
            <w:bookmarkStart w:colFirst="0" w:colLast="0" w:name="_tyjcwt" w:id="5"/>
            <w:bookmarkEnd w:id="5"/>
            <w:r w:rsidDel="00000000" w:rsidR="00000000" w:rsidRPr="00000000">
              <w:rPr>
                <w:rtl w:val="0"/>
              </w:rPr>
              <w:t xml:space="preserve">Just came across this very interesting report from the US on methods to estimate life expectancy values at small levels of geography (US Census tracts).</w:t>
            </w:r>
          </w:p>
          <w:p w:rsidR="00000000" w:rsidDel="00000000" w:rsidP="00000000" w:rsidRDefault="00000000" w:rsidRPr="00000000" w14:paraId="00000067">
            <w:pPr>
              <w:pageBreakBefore w:val="0"/>
              <w:spacing w:after="0" w:line="240" w:lineRule="auto"/>
              <w:rPr>
                <w:color w:val="1155cc"/>
                <w:u w:val="single"/>
              </w:rPr>
            </w:pPr>
            <w:bookmarkStart w:colFirst="0" w:colLast="0" w:name="_3dy6vkm" w:id="6"/>
            <w:bookmarkEnd w:id="6"/>
            <w:r w:rsidDel="00000000" w:rsidR="00000000" w:rsidRPr="00000000">
              <w:fldChar w:fldCharType="begin"/>
              <w:instrText xml:space="preserve"> HYPERLINK "https://na01.safelinks.protection.outlook.com/?url=https%3A%2F%2Fwww.cdc.gov%2Fnchs%2Fdata%2Fseries%2Fsr_02%2Fsr02_181.pdf&amp;data=02%7C01%7Ctrevor.vaningen%40oahpp.ca%7Ca1cf1e600dda4c7e368b08d6435d4f94%7Ccddc1229ac2a4b97b78a0e5cacb5865c%7C0%7C0%7C636770465375801654&amp;sdata=vjsXK3qLLOQ6o1Cyq3XqN1YJnOX5Be7AwgQOr%2FaZuec%3D&amp;reserved=0" </w:instrText>
              <w:fldChar w:fldCharType="separate"/>
            </w:r>
            <w:r w:rsidDel="00000000" w:rsidR="00000000" w:rsidRPr="00000000">
              <w:rPr>
                <w:color w:val="1155cc"/>
                <w:u w:val="single"/>
                <w:rtl w:val="0"/>
              </w:rPr>
              <w:t xml:space="preserve">https://www.cdc.gov/nchs/data/series/sr_02/sr02_181.pdf</w:t>
            </w:r>
          </w:p>
          <w:p w:rsidR="00000000" w:rsidDel="00000000" w:rsidP="00000000" w:rsidRDefault="00000000" w:rsidRPr="00000000" w14:paraId="00000068">
            <w:pPr>
              <w:pageBreakBefore w:val="0"/>
              <w:spacing w:after="0" w:line="240" w:lineRule="auto"/>
              <w:rPr/>
            </w:pPr>
            <w:bookmarkStart w:colFirst="0" w:colLast="0" w:name="_1t3h5sf" w:id="7"/>
            <w:bookmarkEnd w:id="7"/>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69">
            <w:pPr>
              <w:pageBreakBefore w:val="0"/>
              <w:spacing w:after="0" w:line="240" w:lineRule="auto"/>
              <w:rPr/>
            </w:pPr>
            <w:bookmarkStart w:colFirst="0" w:colLast="0" w:name="_4d34og8" w:id="8"/>
            <w:bookmarkEnd w:id="8"/>
            <w:r w:rsidDel="00000000" w:rsidR="00000000" w:rsidRPr="00000000">
              <w:rPr>
                <w:rtl w:val="0"/>
              </w:rPr>
              <w:t xml:space="preserve">Just wondering if you know whether anyone at PHO has considered emulating something like this, i.e. estimating life expectancy for smaller areas of geography?</w:t>
            </w:r>
          </w:p>
          <w:p w:rsidR="00000000" w:rsidDel="00000000" w:rsidP="00000000" w:rsidRDefault="00000000" w:rsidRPr="00000000" w14:paraId="0000006A">
            <w:pPr>
              <w:pageBreakBefore w:val="0"/>
              <w:spacing w:after="0" w:line="240" w:lineRule="auto"/>
              <w:rPr/>
            </w:pPr>
            <w:bookmarkStart w:colFirst="0" w:colLast="0" w:name="_2s8eyo1" w:id="9"/>
            <w:bookmarkEnd w:id="9"/>
            <w:r w:rsidDel="00000000" w:rsidR="00000000" w:rsidRPr="00000000">
              <w:rPr>
                <w:rtl w:val="0"/>
              </w:rPr>
              <w:t xml:space="preserve">I know StatsCan releases 3-year life expectancy values for health regions (PHUs and LHINs) on CANSIM, but I was thinking about LHIN sub-region or CSDs.</w:t>
            </w:r>
          </w:p>
          <w:p w:rsidR="00000000" w:rsidDel="00000000" w:rsidP="00000000" w:rsidRDefault="00000000" w:rsidRPr="00000000" w14:paraId="0000006B">
            <w:pPr>
              <w:pageBreakBefore w:val="0"/>
              <w:spacing w:after="0" w:line="240" w:lineRule="auto"/>
              <w:rPr/>
            </w:pPr>
            <w:bookmarkStart w:colFirst="0" w:colLast="0" w:name="_17dp8vu" w:id="10"/>
            <w:bookmarkEnd w:id="10"/>
            <w:r w:rsidDel="00000000" w:rsidR="00000000" w:rsidRPr="00000000">
              <w:rPr>
                <w:rtl w:val="0"/>
              </w:rPr>
            </w:r>
          </w:p>
          <w:p w:rsidR="00000000" w:rsidDel="00000000" w:rsidP="00000000" w:rsidRDefault="00000000" w:rsidRPr="00000000" w14:paraId="0000006C">
            <w:pPr>
              <w:pageBreakBefore w:val="0"/>
              <w:spacing w:after="0" w:line="240" w:lineRule="auto"/>
              <w:rPr>
                <w:b w:val="1"/>
              </w:rPr>
            </w:pPr>
            <w:bookmarkStart w:colFirst="0" w:colLast="0" w:name="_3rdcrjn" w:id="11"/>
            <w:bookmarkEnd w:id="11"/>
            <w:r w:rsidDel="00000000" w:rsidR="00000000" w:rsidRPr="00000000">
              <w:rPr>
                <w:rtl w:val="0"/>
              </w:rPr>
              <w:t xml:space="preserve">Jessica Deming</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pageBreakBefore w:val="0"/>
              <w:rPr>
                <w:b w:val="1"/>
              </w:rPr>
            </w:pPr>
            <w:r w:rsidDel="00000000" w:rsidR="00000000" w:rsidRPr="00000000">
              <w:rPr>
                <w:b w:val="1"/>
                <w:rtl w:val="0"/>
              </w:rPr>
              <w:t xml:space="preserve">Defer</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pageBreakBefore w:val="0"/>
              <w:rPr>
                <w:b w:val="1"/>
              </w:rPr>
            </w:pPr>
            <w:r w:rsidDel="00000000" w:rsidR="00000000" w:rsidRPr="00000000">
              <w:rPr>
                <w:b w:val="1"/>
                <w:rtl w:val="0"/>
              </w:rPr>
              <w:t xml:space="preserve">5.0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ageBreakBefore w:val="0"/>
              <w:rPr>
                <w:b w:val="1"/>
              </w:rPr>
            </w:pPr>
            <w:r w:rsidDel="00000000" w:rsidR="00000000" w:rsidRPr="00000000">
              <w:rPr>
                <w:b w:val="1"/>
                <w:rtl w:val="0"/>
              </w:rPr>
              <w:t xml:space="preserve">Work Plan - CI Health Outcomes - </w:t>
            </w:r>
            <w:hyperlink r:id="rId10">
              <w:r w:rsidDel="00000000" w:rsidR="00000000" w:rsidRPr="00000000">
                <w:rPr>
                  <w:b w:val="1"/>
                  <w:color w:val="1155cc"/>
                  <w:u w:val="single"/>
                  <w:rtl w:val="0"/>
                </w:rPr>
                <w:t xml:space="preserve">https://docs.google.com/document/d/1ImoaIIPPSbSOnIabb8ik40rp87vE3X2T8S4-OiLX34w/edit</w:t>
              </w:r>
            </w:hyperlink>
            <w:r w:rsidDel="00000000" w:rsidR="00000000" w:rsidRPr="00000000">
              <w:rPr>
                <w:b w:val="1"/>
                <w:rtl w:val="0"/>
              </w:rPr>
              <w:t xml:space="preserve"> </w:t>
            </w:r>
          </w:p>
          <w:p w:rsidR="00000000" w:rsidDel="00000000" w:rsidP="00000000" w:rsidRDefault="00000000" w:rsidRPr="00000000" w14:paraId="00000070">
            <w:pPr>
              <w:pageBreakBefore w:val="0"/>
              <w:rPr/>
            </w:pPr>
            <w:r w:rsidDel="00000000" w:rsidR="00000000" w:rsidRPr="00000000">
              <w:rPr>
                <w:rtl w:val="0"/>
              </w:rPr>
              <w:t xml:space="preserve">The template was approved by the group after deleting the separate objective for administration/documentation as it was determined that this would fit within the previous three objectives.</w:t>
            </w:r>
          </w:p>
          <w:p w:rsidR="00000000" w:rsidDel="00000000" w:rsidP="00000000" w:rsidRDefault="00000000" w:rsidRPr="00000000" w14:paraId="00000071">
            <w:pPr>
              <w:pageBreakBefore w:val="0"/>
              <w:rPr/>
            </w:pPr>
            <w:r w:rsidDel="00000000" w:rsidR="00000000" w:rsidRPr="00000000">
              <w:rPr>
                <w:rtl w:val="0"/>
              </w:rPr>
              <w:t xml:space="preserve">The group decided that after reviewing the existing indicators that require review and updating and identifying any priority missing indicators that we would divide work amongst all group members and use meeting time to report on progress and to bring forward issues that require group discussion.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ageBreakBefore w:val="0"/>
              <w:rPr>
                <w:b w:val="1"/>
              </w:rPr>
            </w:pPr>
            <w:r w:rsidDel="00000000" w:rsidR="00000000" w:rsidRPr="00000000">
              <w:rPr>
                <w:b w:val="1"/>
                <w:rtl w:val="0"/>
              </w:rPr>
              <w:t xml:space="preserve">All</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ageBreakBefore w:val="0"/>
              <w:rPr>
                <w:b w:val="1"/>
              </w:rPr>
            </w:pPr>
            <w:r w:rsidDel="00000000" w:rsidR="00000000" w:rsidRPr="00000000">
              <w:rPr>
                <w:b w:val="1"/>
                <w:rtl w:val="0"/>
              </w:rPr>
              <w:t xml:space="preserve">6.0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ageBreakBefore w:val="0"/>
              <w:rPr>
                <w:b w:val="1"/>
              </w:rPr>
            </w:pPr>
            <w:r w:rsidDel="00000000" w:rsidR="00000000" w:rsidRPr="00000000">
              <w:rPr>
                <w:b w:val="1"/>
                <w:rtl w:val="0"/>
              </w:rPr>
              <w:t xml:space="preserve">Round-Table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ageBreakBefore w:val="0"/>
              <w:rPr>
                <w:b w:val="1"/>
              </w:rPr>
            </w:pPr>
            <w:r w:rsidDel="00000000" w:rsidR="00000000" w:rsidRPr="00000000">
              <w:rPr>
                <w:b w:val="1"/>
                <w:rtl w:val="0"/>
              </w:rPr>
              <w:t xml:space="preserve">All</w:t>
            </w:r>
          </w:p>
        </w:tc>
      </w:tr>
      <w:tr>
        <w:trPr>
          <w:cantSplit w:val="0"/>
          <w:trHeight w:val="10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ageBreakBefore w:val="0"/>
              <w:rPr>
                <w:b w:val="1"/>
              </w:rPr>
            </w:pPr>
            <w:r w:rsidDel="00000000" w:rsidR="00000000" w:rsidRPr="00000000">
              <w:rPr>
                <w:b w:val="1"/>
                <w:rtl w:val="0"/>
              </w:rPr>
              <w:t xml:space="preserve">7.0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ageBreakBefore w:val="0"/>
              <w:rPr>
                <w:b w:val="1"/>
              </w:rPr>
            </w:pPr>
            <w:r w:rsidDel="00000000" w:rsidR="00000000" w:rsidRPr="00000000">
              <w:rPr>
                <w:b w:val="1"/>
                <w:rtl w:val="0"/>
              </w:rPr>
              <w:t xml:space="preserve">Meeting Schedule</w:t>
            </w:r>
          </w:p>
          <w:p w:rsidR="00000000" w:rsidDel="00000000" w:rsidP="00000000" w:rsidRDefault="00000000" w:rsidRPr="00000000" w14:paraId="00000078">
            <w:pPr>
              <w:pageBreakBefore w:val="0"/>
              <w:rPr/>
            </w:pPr>
            <w:r w:rsidDel="00000000" w:rsidR="00000000" w:rsidRPr="00000000">
              <w:rPr>
                <w:b w:val="1"/>
                <w:rtl w:val="0"/>
              </w:rPr>
              <w:t xml:space="preserve">-</w:t>
            </w:r>
            <w:r w:rsidDel="00000000" w:rsidR="00000000" w:rsidRPr="00000000">
              <w:rPr>
                <w:rtl w:val="0"/>
              </w:rPr>
              <w:t xml:space="preserve">will schedule a teleconference every two-months on the first Tuesday of the month from 1:30-3:00 pm. Can review meeting frequency and/or reschedule any meetings as needed.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pageBreakBefore w:val="0"/>
              <w:rPr/>
            </w:pPr>
            <w:bookmarkStart w:colFirst="0" w:colLast="0" w:name="_26in1rg" w:id="12"/>
            <w:bookmarkEnd w:id="12"/>
            <w:r w:rsidDel="00000000" w:rsidR="00000000" w:rsidRPr="00000000">
              <w:rPr>
                <w:b w:val="1"/>
                <w:rtl w:val="0"/>
              </w:rPr>
              <w:t xml:space="preserve">John – </w:t>
            </w:r>
            <w:r w:rsidDel="00000000" w:rsidR="00000000" w:rsidRPr="00000000">
              <w:rPr>
                <w:rtl w:val="0"/>
              </w:rPr>
              <w:t xml:space="preserve">to send out a recurring calendar invite.</w:t>
            </w:r>
          </w:p>
        </w:tc>
      </w:tr>
    </w:tbl>
    <w:p w:rsidR="00000000" w:rsidDel="00000000" w:rsidP="00000000" w:rsidRDefault="00000000" w:rsidRPr="00000000" w14:paraId="0000007A">
      <w:pPr>
        <w:pageBreakBefore w:val="0"/>
        <w:rPr>
          <w:b w:val="1"/>
        </w:rPr>
      </w:pPr>
      <w:bookmarkStart w:colFirst="0" w:colLast="0" w:name="_lnxbz9" w:id="13"/>
      <w:bookmarkEnd w:id="13"/>
      <w:r w:rsidDel="00000000" w:rsidR="00000000" w:rsidRPr="00000000">
        <w:rPr>
          <w:rtl w:val="0"/>
        </w:rPr>
      </w:r>
    </w:p>
    <w:p w:rsidR="00000000" w:rsidDel="00000000" w:rsidP="00000000" w:rsidRDefault="00000000" w:rsidRPr="00000000" w14:paraId="0000007B">
      <w:pPr>
        <w:pageBreakBefore w:val="0"/>
        <w:spacing w:after="240" w:lineRule="auto"/>
        <w:rPr>
          <w:b w:val="1"/>
        </w:rPr>
      </w:pPr>
      <w:r w:rsidDel="00000000" w:rsidR="00000000" w:rsidRPr="00000000">
        <w:rPr>
          <w:b w:val="1"/>
          <w:rtl w:val="0"/>
        </w:rPr>
        <w:t xml:space="preserve">   Meeting minutes takers in alphabetic order by last name</w:t>
      </w:r>
    </w:p>
    <w:tbl>
      <w:tblPr>
        <w:tblStyle w:val="Table4"/>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4725"/>
        <w:gridCol w:w="3405"/>
        <w:tblGridChange w:id="0">
          <w:tblGrid>
            <w:gridCol w:w="615"/>
            <w:gridCol w:w="4725"/>
            <w:gridCol w:w="34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ageBreakBefore w:val="0"/>
              <w:spacing w:after="0" w:line="240" w:lineRule="auto"/>
              <w:rPr/>
            </w:pPr>
            <w:r w:rsidDel="00000000" w:rsidR="00000000" w:rsidRPr="00000000">
              <w:rPr>
                <w:rtl w:val="0"/>
              </w:rPr>
              <w:t xml:space="preser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pageBreakBefore w:val="0"/>
              <w:spacing w:after="0" w:line="240" w:lineRule="auto"/>
              <w:rPr/>
            </w:pPr>
            <w:r w:rsidDel="00000000" w:rsidR="00000000" w:rsidRPr="00000000">
              <w:rPr>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pageBreakBefore w:val="0"/>
              <w:spacing w:after="0" w:line="240" w:lineRule="auto"/>
              <w:rPr/>
            </w:pPr>
            <w:r w:rsidDel="00000000" w:rsidR="00000000" w:rsidRPr="00000000">
              <w:rPr>
                <w:rtl w:val="0"/>
              </w:rPr>
              <w:t xml:space="preserve">Meeting Date</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pageBreakBefore w:val="0"/>
              <w:spacing w:after="0" w:line="240" w:lineRule="auto"/>
              <w:rPr/>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pageBreakBefore w:val="0"/>
              <w:spacing w:after="0" w:line="240" w:lineRule="auto"/>
              <w:rPr/>
            </w:pPr>
            <w:r w:rsidDel="00000000" w:rsidR="00000000" w:rsidRPr="00000000">
              <w:rPr>
                <w:rtl w:val="0"/>
              </w:rPr>
              <w:t xml:space="preserve">John Barbaro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pageBreakBefore w:val="0"/>
              <w:spacing w:after="0" w:line="240" w:lineRule="auto"/>
              <w:rPr/>
            </w:pPr>
            <w:r w:rsidDel="00000000" w:rsidR="00000000" w:rsidRPr="00000000">
              <w:rPr>
                <w:rtl w:val="0"/>
              </w:rPr>
              <w:t xml:space="preserve">December 4, 2018</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pageBreakBefore w:val="0"/>
              <w:spacing w:after="0" w:line="240" w:lineRule="auto"/>
              <w:rPr/>
            </w:pPr>
            <w:bookmarkStart w:colFirst="0" w:colLast="0" w:name="_35nkun2" w:id="14"/>
            <w:bookmarkEnd w:id="14"/>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pageBreakBefore w:val="0"/>
              <w:spacing w:after="0" w:line="240" w:lineRule="auto"/>
              <w:rPr/>
            </w:pPr>
            <w:r w:rsidDel="00000000" w:rsidR="00000000" w:rsidRPr="00000000">
              <w:rPr>
                <w:rtl w:val="0"/>
              </w:rPr>
              <w:t xml:space="preserve">Jeanette Bourne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pageBreakBefore w:val="0"/>
              <w:spacing w:after="0" w:line="240" w:lineRule="auto"/>
              <w:rPr/>
            </w:pPr>
            <w:r w:rsidDel="00000000" w:rsidR="00000000" w:rsidRPr="00000000">
              <w:rPr>
                <w:rtl w:val="0"/>
              </w:rPr>
              <w:t xml:space="preserve">February 5,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pageBreakBefore w:val="0"/>
              <w:spacing w:after="0" w:line="240" w:lineRule="auto"/>
              <w:rPr/>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pageBreakBefore w:val="0"/>
              <w:spacing w:after="0" w:line="240" w:lineRule="auto"/>
              <w:rPr/>
            </w:pPr>
            <w:r w:rsidDel="00000000" w:rsidR="00000000" w:rsidRPr="00000000">
              <w:rPr>
                <w:rtl w:val="0"/>
              </w:rPr>
              <w:t xml:space="preserve">Philip Cavicchia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pageBreakBefore w:val="0"/>
              <w:spacing w:after="0" w:line="240" w:lineRule="auto"/>
              <w:rPr/>
            </w:pPr>
            <w:r w:rsidDel="00000000" w:rsidR="00000000" w:rsidRPr="00000000">
              <w:rPr>
                <w:rtl w:val="0"/>
              </w:rPr>
              <w:t xml:space="preserve">April 9,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pageBreakBefore w:val="0"/>
              <w:spacing w:after="0" w:line="240" w:lineRule="auto"/>
              <w:rPr/>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pageBreakBefore w:val="0"/>
              <w:spacing w:after="0" w:line="240" w:lineRule="auto"/>
              <w:rPr/>
            </w:pPr>
            <w:r w:rsidDel="00000000" w:rsidR="00000000" w:rsidRPr="00000000">
              <w:rPr>
                <w:rtl w:val="0"/>
              </w:rPr>
              <w:t xml:space="preserve">Laera Gattoni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pageBreakBefore w:val="0"/>
              <w:spacing w:after="0" w:line="240" w:lineRule="auto"/>
              <w:rPr/>
            </w:pPr>
            <w:r w:rsidDel="00000000" w:rsidR="00000000" w:rsidRPr="00000000">
              <w:rPr>
                <w:rtl w:val="0"/>
              </w:rPr>
              <w:t xml:space="preserve"> June 11,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pageBreakBefore w:val="0"/>
              <w:spacing w:after="0" w:line="240" w:lineRule="auto"/>
              <w:rPr/>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pageBreakBefore w:val="0"/>
              <w:spacing w:after="0" w:line="240" w:lineRule="auto"/>
              <w:rPr/>
            </w:pPr>
            <w:r w:rsidDel="00000000" w:rsidR="00000000" w:rsidRPr="00000000">
              <w:rPr>
                <w:rtl w:val="0"/>
              </w:rPr>
              <w:t xml:space="preserve">Jeremy Herring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pageBreakBefore w:val="0"/>
              <w:spacing w:after="0" w:line="240" w:lineRule="auto"/>
              <w:rPr/>
            </w:pPr>
            <w:r w:rsidDel="00000000" w:rsidR="00000000" w:rsidRPr="00000000">
              <w:rPr>
                <w:rtl w:val="0"/>
              </w:rPr>
              <w:t xml:space="preserve"> August 6,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pageBreakBefore w:val="0"/>
              <w:spacing w:after="0" w:line="240" w:lineRule="auto"/>
              <w:rPr/>
            </w:pPr>
            <w:r w:rsidDel="00000000" w:rsidR="00000000" w:rsidRPr="00000000">
              <w:rPr>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pageBreakBefore w:val="0"/>
              <w:spacing w:after="0" w:line="240" w:lineRule="auto"/>
              <w:rPr/>
            </w:pPr>
            <w:r w:rsidDel="00000000" w:rsidR="00000000" w:rsidRPr="00000000">
              <w:rPr>
                <w:rtl w:val="0"/>
              </w:rPr>
              <w:t xml:space="preserve">Michael 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pageBreakBefore w:val="0"/>
              <w:spacing w:after="0" w:line="240" w:lineRule="auto"/>
              <w:rPr/>
            </w:pPr>
            <w:r w:rsidDel="00000000" w:rsidR="00000000" w:rsidRPr="00000000">
              <w:rPr>
                <w:rtl w:val="0"/>
              </w:rPr>
              <w:t xml:space="preserve"> October 1,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pageBreakBefore w:val="0"/>
              <w:spacing w:after="0" w:line="240" w:lineRule="auto"/>
              <w:rPr/>
            </w:pPr>
            <w:r w:rsidDel="00000000" w:rsidR="00000000" w:rsidRPr="00000000">
              <w:rPr>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pageBreakBefore w:val="0"/>
              <w:spacing w:after="0" w:line="240" w:lineRule="auto"/>
              <w:rPr/>
            </w:pPr>
            <w:r w:rsidDel="00000000" w:rsidR="00000000" w:rsidRPr="00000000">
              <w:rPr>
                <w:rtl w:val="0"/>
              </w:rPr>
              <w:t xml:space="preserve">Jasmin Lau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pageBreakBefore w:val="0"/>
              <w:spacing w:after="0" w:line="240" w:lineRule="auto"/>
              <w:rPr/>
            </w:pPr>
            <w:r w:rsidDel="00000000" w:rsidR="00000000" w:rsidRPr="00000000">
              <w:rPr>
                <w:rtl w:val="0"/>
              </w:rPr>
              <w:t xml:space="preserve"> December 3, 2019</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pageBreakBefore w:val="0"/>
              <w:spacing w:after="0" w:line="240" w:lineRule="auto"/>
              <w:rPr/>
            </w:pPr>
            <w:r w:rsidDel="00000000" w:rsidR="00000000" w:rsidRPr="00000000">
              <w:rPr>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pageBreakBefore w:val="0"/>
              <w:spacing w:after="0" w:line="240" w:lineRule="auto"/>
              <w:rPr/>
            </w:pPr>
            <w:r w:rsidDel="00000000" w:rsidR="00000000" w:rsidRPr="00000000">
              <w:rPr>
                <w:rtl w:val="0"/>
              </w:rPr>
              <w:t xml:space="preserve">Shusmita Rahman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pageBreakBefore w:val="0"/>
              <w:spacing w:after="0" w:line="240" w:lineRule="auto"/>
              <w:rPr/>
            </w:pPr>
            <w:r w:rsidDel="00000000" w:rsidR="00000000" w:rsidRPr="00000000">
              <w:rPr>
                <w:rtl w:val="0"/>
              </w:rPr>
              <w:t xml:space="preserve"> February 4, 2020</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pageBreakBefore w:val="0"/>
              <w:spacing w:after="0" w:line="240" w:lineRule="auto"/>
              <w:rPr/>
            </w:pPr>
            <w:r w:rsidDel="00000000" w:rsidR="00000000" w:rsidRPr="00000000">
              <w:rPr>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pageBreakBefore w:val="0"/>
              <w:spacing w:after="0" w:line="240" w:lineRule="auto"/>
              <w:rPr/>
            </w:pPr>
            <w:r w:rsidDel="00000000" w:rsidR="00000000" w:rsidRPr="00000000">
              <w:rPr>
                <w:rtl w:val="0"/>
              </w:rPr>
              <w:t xml:space="preserve">Erica Sawula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pageBreakBefore w:val="0"/>
              <w:spacing w:after="0" w:line="240" w:lineRule="auto"/>
              <w:rPr/>
            </w:pPr>
            <w:bookmarkStart w:colFirst="0" w:colLast="0" w:name="_1ksv4uv" w:id="15"/>
            <w:bookmarkEnd w:id="15"/>
            <w:r w:rsidDel="00000000" w:rsidR="00000000" w:rsidRPr="00000000">
              <w:rPr>
                <w:rtl w:val="0"/>
              </w:rPr>
              <w:t xml:space="preserve">April 7, 2020</w:t>
            </w:r>
          </w:p>
        </w:tc>
      </w:tr>
      <w:tr>
        <w:trPr>
          <w:cantSplit w:val="0"/>
          <w:trHeight w:val="5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pageBreakBefore w:val="0"/>
              <w:spacing w:after="0" w:line="240" w:lineRule="auto"/>
              <w:rPr/>
            </w:pPr>
            <w:r w:rsidDel="00000000" w:rsidR="00000000" w:rsidRPr="00000000">
              <w:rPr>
                <w:rtl w:val="0"/>
              </w:rPr>
              <w:t xml:space="preserve"> 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pageBreakBefore w:val="0"/>
              <w:spacing w:after="0" w:line="240" w:lineRule="auto"/>
              <w:rPr/>
            </w:pPr>
            <w:r w:rsidDel="00000000" w:rsidR="00000000" w:rsidRPr="00000000">
              <w:rPr>
                <w:rtl w:val="0"/>
              </w:rPr>
              <w:t xml:space="preserve">Laura Zettler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pageBreakBefore w:val="0"/>
              <w:spacing w:after="0" w:line="240" w:lineRule="auto"/>
              <w:rPr/>
            </w:pPr>
            <w:bookmarkStart w:colFirst="0" w:colLast="0" w:name="_1ksv4uv" w:id="15"/>
            <w:bookmarkEnd w:id="15"/>
            <w:r w:rsidDel="00000000" w:rsidR="00000000" w:rsidRPr="00000000">
              <w:rPr>
                <w:rtl w:val="0"/>
              </w:rPr>
              <w:t xml:space="preserve">June 2, 2020</w:t>
            </w:r>
          </w:p>
        </w:tc>
      </w:tr>
    </w:tbl>
    <w:p w:rsidR="00000000" w:rsidDel="00000000" w:rsidP="00000000" w:rsidRDefault="00000000" w:rsidRPr="00000000" w14:paraId="0000009D">
      <w:pPr>
        <w:pageBreakBefore w:val="0"/>
        <w:rPr/>
      </w:pPr>
      <w:bookmarkStart w:colFirst="0" w:colLast="0" w:name="_44sinio" w:id="16"/>
      <w:bookmarkEnd w:id="16"/>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ImoaIIPPSbSOnIabb8ik40rp87vE3X2T8S4-OiLX34w/edit" TargetMode="External"/><Relationship Id="rId9" Type="http://schemas.openxmlformats.org/officeDocument/2006/relationships/hyperlink" Target="https://docs.google.com/document/d/1at6lcZZ2K5FBh-af9bP6jYuEay1-Hno-oVGCH618rf8/edit" TargetMode="External"/><Relationship Id="rId5" Type="http://schemas.openxmlformats.org/officeDocument/2006/relationships/styles" Target="styles.xml"/><Relationship Id="rId6" Type="http://schemas.openxmlformats.org/officeDocument/2006/relationships/hyperlink" Target="https://docs.google.com/document/d/1g9joQM9m0N8zKM6oVWJXP0NlSNwaOUw44c714TOSmHo/edit" TargetMode="External"/><Relationship Id="rId7" Type="http://schemas.openxmlformats.org/officeDocument/2006/relationships/hyperlink" Target="http://core.apheo.ca/index.php?pid=150" TargetMode="External"/><Relationship Id="rId8" Type="http://schemas.openxmlformats.org/officeDocument/2006/relationships/hyperlink" Target="http://core.apheo.ca/index.php?pid=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