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rtl w:val="0"/>
        </w:rPr>
        <w:t xml:space="preserve">Core Indicators for Public Health in Ontario</w:t>
      </w:r>
    </w:p>
    <w:p w:rsidR="00000000" w:rsidDel="00000000" w:rsidP="00000000" w:rsidRDefault="00000000" w:rsidRPr="00000000" w14:paraId="00000002">
      <w:pPr>
        <w:pStyle w:val="Heading3"/>
        <w:pageBreakBefore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Substance Use Subgroup</w:t>
      </w:r>
    </w:p>
    <w:tbl>
      <w:tblPr>
        <w:tblStyle w:val="Table1"/>
        <w:tblW w:w="9720.0" w:type="dxa"/>
        <w:jc w:val="left"/>
        <w:tblInd w:w="-2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1"/>
        <w:gridCol w:w="7999"/>
        <w:tblGridChange w:id="0">
          <w:tblGrid>
            <w:gridCol w:w="1721"/>
            <w:gridCol w:w="7999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pageBreakBefore w:val="0"/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spacing w:after="60" w:before="60" w:lineRule="auto"/>
              <w:rPr/>
            </w:pPr>
            <w:r w:rsidDel="00000000" w:rsidR="00000000" w:rsidRPr="00000000">
              <w:rPr>
                <w:rtl w:val="0"/>
              </w:rPr>
              <w:t xml:space="preserve">April 9, 2019: 11:00 a.m. – 12:00 p.m.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Teleconference Information:</w:t>
            </w:r>
          </w:p>
          <w:p w:rsidR="00000000" w:rsidDel="00000000" w:rsidP="00000000" w:rsidRDefault="00000000" w:rsidRPr="00000000" w14:paraId="00000006">
            <w:pPr>
              <w:pageBreakBefore w:val="0"/>
              <w:spacing w:after="60" w:before="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Local: (416) 850-2050</w:t>
              <w:br w:type="textWrapping"/>
              <w:t xml:space="preserve">Toll-Free: 1-866-261-6767</w:t>
            </w:r>
          </w:p>
          <w:p w:rsidR="00000000" w:rsidDel="00000000" w:rsidP="00000000" w:rsidRDefault="00000000" w:rsidRPr="00000000" w14:paraId="0000000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Password: 2581093#</w:t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3.0" w:type="dxa"/>
        <w:jc w:val="left"/>
        <w:tblInd w:w="-8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06"/>
        <w:gridCol w:w="8817"/>
        <w:tblGridChange w:id="0">
          <w:tblGrid>
            <w:gridCol w:w="806"/>
            <w:gridCol w:w="8817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spacing w:after="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1.0 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agenda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last meeting's minutes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 update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Review of core indicator working group documents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Update on structure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6.0</w:t>
            </w:r>
          </w:p>
        </w:tc>
        <w:tc>
          <w:tcPr>
            <w:tcMar>
              <w:top w:w="29.0" w:type="dxa"/>
              <w:left w:w="86.0" w:type="dxa"/>
              <w:bottom w:w="29.0" w:type="dxa"/>
              <w:right w:w="86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Next Steps</w:t>
            </w:r>
          </w:p>
        </w:tc>
      </w:tr>
    </w:tbl>
    <w:p w:rsidR="00000000" w:rsidDel="00000000" w:rsidP="00000000" w:rsidRDefault="00000000" w:rsidRPr="00000000" w14:paraId="00000018">
      <w:pPr>
        <w:pStyle w:val="Heading3"/>
        <w:pageBreakBefore w:val="0"/>
        <w:rPr>
          <w:rFonts w:ascii="Cambria" w:cs="Cambria" w:eastAsia="Cambria" w:hAnsi="Cambria"/>
          <w:b w:val="1"/>
          <w:color w:val="80808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before="8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rtl w:val="0"/>
        </w:rPr>
        <w:t xml:space="preserve">Chair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Soraya (Toronto)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rtl w:val="0"/>
        </w:rPr>
        <w:t xml:space="preserve">Minutes: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Michael (Wellington-Dufferin-Guelph)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rtl w:val="0"/>
        </w:rPr>
        <w:t xml:space="preserve">Attendees:</w:t>
      </w:r>
      <w:r w:rsidDel="00000000" w:rsidR="00000000" w:rsidRPr="00000000">
        <w:rPr>
          <w:rFonts w:ascii="Cambria" w:cs="Cambria" w:eastAsia="Cambria" w:hAnsi="Cambria"/>
          <w:color w:val="1f4e79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Kaitlin (Durham), Katrice (Hamilton), Andrea (Peel), Shelby (Grey Bruce), Michael (Wellington-Dufferin-Guelph), Kristen (Halton), Rachel (Niagara), Leah (York)</w:t>
      </w:r>
    </w:p>
    <w:p w:rsidR="00000000" w:rsidDel="00000000" w:rsidP="00000000" w:rsidRDefault="00000000" w:rsidRPr="00000000" w14:paraId="0000001C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rtl w:val="0"/>
        </w:rPr>
        <w:t xml:space="preserve">Regrets: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Auburn (North Bay Parry Sound), Cameron (Ottawa), Kris (University of Toronto)</w:t>
      </w:r>
    </w:p>
    <w:p w:rsidR="00000000" w:rsidDel="00000000" w:rsidP="00000000" w:rsidRDefault="00000000" w:rsidRPr="00000000" w14:paraId="0000001D">
      <w:pPr>
        <w:pageBreakBefore w:val="0"/>
        <w:rPr>
          <w:rFonts w:ascii="Cambria" w:cs="Cambria" w:eastAsia="Cambria" w:hAnsi="Cambria"/>
          <w:b w:val="1"/>
          <w:color w:val="1f4e79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1f4e79"/>
          <w:u w:val="single"/>
          <w:rtl w:val="0"/>
        </w:rPr>
        <w:t xml:space="preserve">Meeting Minutes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0" w:right="0" w:hanging="40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agenda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additions to the agenda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00" w:right="0" w:hanging="40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last meeting’s minutes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changes were made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mbria" w:cs="Cambria" w:eastAsia="Cambria" w:hAnsi="Cambria"/>
          <w:b w:val="1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3.0 Website Update</w:t>
      </w:r>
    </w:p>
    <w:p w:rsidR="00000000" w:rsidDel="00000000" w:rsidP="00000000" w:rsidRDefault="00000000" w:rsidRPr="00000000" w14:paraId="00000024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 the APHEO website, the substance use working group is now active. Please make sure to join this group to receive all the documents and to be up-to-date with information. The working group is located under the membership tab on the APHEO website, under Workgroups &gt; Other Workgroups&gt; CI Substance Use. </w:t>
      </w:r>
    </w:p>
    <w:p w:rsidR="00000000" w:rsidDel="00000000" w:rsidP="00000000" w:rsidRDefault="00000000" w:rsidRPr="00000000" w14:paraId="00000025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Under the Core indicators Tab, you can find core indicator resources, including the resources sent by Soraya in her email on April 4</w:t>
      </w:r>
      <w:r w:rsidDel="00000000" w:rsidR="00000000" w:rsidRPr="00000000">
        <w:rPr>
          <w:rFonts w:ascii="Cambria" w:cs="Cambria" w:eastAsia="Cambria" w:hAnsi="Cambria"/>
          <w:vertAlign w:val="superscript"/>
          <w:rtl w:val="0"/>
        </w:rPr>
        <w:t xml:space="preserve">th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2019. In case you are new to CI working groups or would like a refresher, there is a video now available on the website that introduces the structure of working groups. </w:t>
      </w:r>
    </w:p>
    <w:p w:rsidR="00000000" w:rsidDel="00000000" w:rsidP="00000000" w:rsidRDefault="00000000" w:rsidRPr="00000000" w14:paraId="00000026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Under Core Indicators Tab &gt; CIWG &amp; Subgroups &gt; Substance Use. Soraya has updated the sub-group with the names of everyone in the database. If you don’t see your name present, please let her know.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1f4e7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Core Indicator Working Group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Creating a new Core Indicator: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core indicator (literature review, data sources, syntax documents)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for Internal review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Send for External review (Justin Thielman, Melissa MacLeod)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 on website. </w:t>
      </w:r>
    </w:p>
    <w:p w:rsidR="00000000" w:rsidDel="00000000" w:rsidP="00000000" w:rsidRDefault="00000000" w:rsidRPr="00000000" w14:paraId="0000002D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Core indicator revision process: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major revision is needed, then it resembles the creation of a new indicator.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only a minor revision is needed, then internal review is only needed then it will be updated on the website. (i.e. making sure syntax is relevant and current)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Soraya to circulate a document that defines core indicators, gap indicators gaps, etc.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mbria" w:cs="Cambria" w:eastAsia="Cambria" w:hAnsi="Cambria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Update on Structure</w:t>
      </w:r>
    </w:p>
    <w:p w:rsidR="00000000" w:rsidDel="00000000" w:rsidP="00000000" w:rsidRDefault="00000000" w:rsidRPr="00000000" w14:paraId="00000034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Kristen (Halton) to lead sub-group on opioids subgroup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Katie (Durham)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Leah (York)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Mike (WDG)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Shelby (Grey Bruce)</w:t>
      </w:r>
    </w:p>
    <w:p w:rsidR="00000000" w:rsidDel="00000000" w:rsidP="00000000" w:rsidRDefault="00000000" w:rsidRPr="00000000" w14:paraId="0000003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Soraya (Toronto) to lead cannabis and alcohol subgroup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 (Peel)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Rachel (Niagara)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Katrice (Hamilton)</w:t>
      </w:r>
    </w:p>
    <w:p w:rsidR="00000000" w:rsidDel="00000000" w:rsidP="00000000" w:rsidRDefault="00000000" w:rsidRPr="00000000" w14:paraId="0000003D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Discussion: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Subgroups will meet monthly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Larger group will meet every other month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Interest in sub-groups later focusing on creating indicators for other substances.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Methamphetamines is a priority for most health units. Currently, there doesn’t seem to be much data available. ICD-10 codes aren’t specific enough. May justify lobbying to the ministry, like what was done with opioids, to improve collection of information surrounding methamphetamines.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Kristen and Soraya will follow up with members of their respective subgroups to plan the first meeting. </w:t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0"/>
      <w:lvlJc w:val="left"/>
      <w:pPr>
        <w:ind w:left="400" w:hanging="400"/>
      </w:pPr>
      <w:rPr/>
    </w:lvl>
    <w:lvl w:ilvl="1">
      <w:start w:val="1"/>
      <w:numFmt w:val="decimal"/>
      <w:lvlText w:val="%1.%2"/>
      <w:lvlJc w:val="left"/>
      <w:pPr>
        <w:ind w:left="1120" w:hanging="40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3240" w:hanging="108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abstractNum w:abstractNumId="4">
    <w:lvl w:ilvl="0">
      <w:start w:val="4"/>
      <w:numFmt w:val="decimal"/>
      <w:lvlText w:val="%1.0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2160" w:hanging="720"/>
      </w:pPr>
      <w:rPr/>
    </w:lvl>
    <w:lvl w:ilvl="3">
      <w:start w:val="1"/>
      <w:numFmt w:val="decimal"/>
      <w:lvlText w:val="%1.%2.%3.%4"/>
      <w:lvlJc w:val="left"/>
      <w:pPr>
        <w:ind w:left="3240" w:hanging="1080"/>
      </w:pPr>
      <w:rPr/>
    </w:lvl>
    <w:lvl w:ilvl="4">
      <w:start w:val="1"/>
      <w:numFmt w:val="decimal"/>
      <w:lvlText w:val="%1.%2.%3.%4.%5"/>
      <w:lvlJc w:val="left"/>
      <w:pPr>
        <w:ind w:left="3960" w:hanging="1080"/>
      </w:pPr>
      <w:rPr/>
    </w:lvl>
    <w:lvl w:ilvl="5">
      <w:start w:val="1"/>
      <w:numFmt w:val="decimal"/>
      <w:lvlText w:val="%1.%2.%3.%4.%5.%6"/>
      <w:lvlJc w:val="left"/>
      <w:pPr>
        <w:ind w:left="5040" w:hanging="1440"/>
      </w:pPr>
      <w:rPr/>
    </w:lvl>
    <w:lvl w:ilvl="6">
      <w:start w:val="1"/>
      <w:numFmt w:val="decimal"/>
      <w:lvlText w:val="%1.%2.%3.%4.%5.%6.%7"/>
      <w:lvlJc w:val="left"/>
      <w:pPr>
        <w:ind w:left="5760" w:hanging="1440"/>
      </w:pPr>
      <w:rPr/>
    </w:lvl>
    <w:lvl w:ilvl="7">
      <w:start w:val="1"/>
      <w:numFmt w:val="decimal"/>
      <w:lvlText w:val="%1.%2.%3.%4.%5.%6.%7.%8"/>
      <w:lvlJc w:val="left"/>
      <w:pPr>
        <w:ind w:left="6840" w:hanging="1800"/>
      </w:pPr>
      <w:rPr/>
    </w:lvl>
    <w:lvl w:ilvl="8">
      <w:start w:val="1"/>
      <w:numFmt w:val="decimal"/>
      <w:lvlText w:val="%1.%2.%3.%4.%5.%6.%7.%8.%9"/>
      <w:lvlJc w:val="left"/>
      <w:pPr>
        <w:ind w:left="756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b w:val="1"/>
      <w:color w:val="1f4e79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60" w:lin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pBdr>
        <w:bottom w:color="5b9bd5" w:space="4" w:sz="8" w:val="single"/>
      </w:pBdr>
      <w:spacing w:after="300" w:line="240" w:lineRule="auto"/>
    </w:pPr>
    <w:rPr>
      <w:rFonts w:ascii="Calibri" w:cs="Calibri" w:eastAsia="Calibri" w:hAnsi="Calibri"/>
      <w:color w:val="323e4f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